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0921B" w14:textId="41A92BD7" w:rsidR="009B4408" w:rsidRPr="00DE22CE" w:rsidRDefault="00DE22CE" w:rsidP="00DE22CE">
      <w:pPr>
        <w:spacing w:after="480" w:line="276" w:lineRule="auto"/>
        <w:jc w:val="center"/>
        <w:rPr>
          <w:b/>
        </w:rPr>
      </w:pPr>
      <w:bookmarkStart w:id="0" w:name="_GoBack"/>
      <w:bookmarkEnd w:id="0"/>
      <w:r w:rsidRPr="00DE22CE">
        <w:rPr>
          <w:b/>
        </w:rPr>
        <w:t>KE ZŘÍZENÍ ZÁKAZU ZCIZENÍ A ZATÍŽENÍ NEMOVITÉ VĚCI VE PROSPĚCH NEZLETILÉHO NENÍ POTŘEBA SOUHLAS SOUDU</w:t>
      </w:r>
    </w:p>
    <w:p w14:paraId="1467BD71" w14:textId="4D42796E" w:rsidR="00F36DF5" w:rsidRPr="00F36DF5" w:rsidRDefault="00440E5E" w:rsidP="00545FFF">
      <w:pPr>
        <w:spacing w:before="240" w:after="120" w:line="276" w:lineRule="auto"/>
        <w:jc w:val="both"/>
        <w:rPr>
          <w:b/>
        </w:rPr>
      </w:pPr>
      <w:r w:rsidRPr="00F36DF5">
        <w:rPr>
          <w:b/>
        </w:rPr>
        <w:t>Úvod</w:t>
      </w:r>
    </w:p>
    <w:p w14:paraId="66409FA0" w14:textId="43F5D5BB" w:rsidR="000269B1" w:rsidRDefault="00DE22CE" w:rsidP="00261704">
      <w:pPr>
        <w:spacing w:after="120" w:line="276" w:lineRule="auto"/>
        <w:jc w:val="both"/>
      </w:pPr>
      <w:r>
        <w:t xml:space="preserve">Představme si následující příklad: nezletilému dítěti je jeho rodičem nebo </w:t>
      </w:r>
      <w:r w:rsidR="008371E3">
        <w:t>jiným příbuzným či jakoukoli třetí osobou</w:t>
      </w:r>
      <w:r>
        <w:t xml:space="preserve"> darována nemovitá věc pro případ smrti dárce</w:t>
      </w:r>
      <w:r w:rsidR="00E470F2">
        <w:t xml:space="preserve"> (§ 2063 </w:t>
      </w:r>
      <w:r w:rsidR="00727425">
        <w:t>zákona č. 89/2012 Sb., občanský zákoník, ve znění pozdějších předpisů; dále jen „občanský zákoník“</w:t>
      </w:r>
      <w:r w:rsidR="00E470F2">
        <w:t>)</w:t>
      </w:r>
      <w:r>
        <w:t xml:space="preserve">. </w:t>
      </w:r>
      <w:r w:rsidR="00215ABC">
        <w:t>Zda je d</w:t>
      </w:r>
      <w:r w:rsidR="00D05905">
        <w:t>ůvodem vypořádání majetku při rozvodu rodičů tohoto nezletilého, vypořádávání budoucího dědictví či jiná situace</w:t>
      </w:r>
      <w:r w:rsidR="00215ABC">
        <w:t xml:space="preserve">, není důležité. </w:t>
      </w:r>
      <w:r w:rsidR="00AB3A41">
        <w:t xml:space="preserve">Vzhledem k tomu, že </w:t>
      </w:r>
      <w:r w:rsidR="00F67F22">
        <w:t xml:space="preserve">okamžik, kdy dojde k převodu vlastnického práva </w:t>
      </w:r>
      <w:r w:rsidR="00CB4A6B">
        <w:t>na obdarovaného</w:t>
      </w:r>
      <w:r w:rsidR="00C26E98">
        <w:t xml:space="preserve"> následuje často i několik jednotek až desítek let po uzavření darovací </w:t>
      </w:r>
      <w:r w:rsidR="00487340">
        <w:t>smlouvy</w:t>
      </w:r>
      <w:r w:rsidR="00247DE1">
        <w:t xml:space="preserve">, </w:t>
      </w:r>
      <w:r w:rsidR="007256C4">
        <w:t>mohlo by</w:t>
      </w:r>
      <w:r w:rsidR="00801BA9">
        <w:t xml:space="preserve"> se stát, že dárce během této doby dar (zde nemovitou věc) zcizí či alespoň zatíží, což bude v rozporu se zamýšleným účelem darovací smlouvy. </w:t>
      </w:r>
      <w:r w:rsidR="004F0F50">
        <w:t xml:space="preserve">V takových případech lze jen doporučit zajistit </w:t>
      </w:r>
      <w:r w:rsidR="00247DE1">
        <w:t xml:space="preserve">splnění darovací povinnosti </w:t>
      </w:r>
      <w:r w:rsidR="00536EDC">
        <w:t xml:space="preserve">zřízením </w:t>
      </w:r>
      <w:r w:rsidR="00247DE1">
        <w:t>zákaz</w:t>
      </w:r>
      <w:r w:rsidR="00536EDC">
        <w:t>u</w:t>
      </w:r>
      <w:r w:rsidR="00247DE1">
        <w:t xml:space="preserve"> zcizení </w:t>
      </w:r>
      <w:r w:rsidR="00870C6E">
        <w:t xml:space="preserve">a zatížení předmětné </w:t>
      </w:r>
      <w:r w:rsidR="008472B4">
        <w:t>nemovité věci</w:t>
      </w:r>
      <w:r w:rsidR="00870C6E">
        <w:t xml:space="preserve"> ve prospěch nezletilého jako věcné právo (§ 1761 občanského zákoníku). </w:t>
      </w:r>
    </w:p>
    <w:p w14:paraId="630D8EC8" w14:textId="530225F9" w:rsidR="00ED4817" w:rsidRDefault="008061C4" w:rsidP="00261704">
      <w:pPr>
        <w:spacing w:after="120" w:line="276" w:lineRule="auto"/>
        <w:jc w:val="both"/>
      </w:pPr>
      <w:r>
        <w:t xml:space="preserve">Ustanovení § 898 odst. 2 písm. a) občanského zákoníku </w:t>
      </w:r>
      <w:r w:rsidR="00AB57F4">
        <w:t xml:space="preserve">výslovně vyžaduje k účinnosti </w:t>
      </w:r>
      <w:r w:rsidR="00AE2167">
        <w:t>darování nemovité věci nezletilému souhlas soudu.</w:t>
      </w:r>
      <w:r w:rsidR="002F2706">
        <w:t xml:space="preserve"> </w:t>
      </w:r>
      <w:r w:rsidR="00D55B4F">
        <w:t>Občanský zákoník ani jiné právní předpisy se však výslovně nevyjadřují k </w:t>
      </w:r>
      <w:r w:rsidR="00837289">
        <w:t>nutnosti</w:t>
      </w:r>
      <w:r w:rsidR="00D55B4F">
        <w:t xml:space="preserve"> souhlasu soudu se zřízením zákazu zcizení a zatížení nemovité věci ve prospěch daného nezletilého, což je záležitost, s níž z povahy věci nelze vyčkávat až do doby smrti dárce. </w:t>
      </w:r>
      <w:r w:rsidR="00B44EE2">
        <w:t xml:space="preserve">Z níže uvedených důvodů se autor domnívá, že v těchto případech </w:t>
      </w:r>
      <w:r w:rsidR="00B44EE2" w:rsidRPr="002E690A">
        <w:rPr>
          <w:u w:val="single"/>
        </w:rPr>
        <w:t>není</w:t>
      </w:r>
      <w:r w:rsidR="00B44EE2">
        <w:t xml:space="preserve"> třeba </w:t>
      </w:r>
      <w:r w:rsidR="008A2E1F">
        <w:t xml:space="preserve">souhlas soudu vyžadovat. </w:t>
      </w:r>
      <w:r w:rsidR="009516CA">
        <w:t xml:space="preserve">Po dovršení zletilosti </w:t>
      </w:r>
      <w:r w:rsidR="00567B8C">
        <w:t>obdarovaným nezletilým</w:t>
      </w:r>
      <w:r w:rsidR="009516CA">
        <w:t xml:space="preserve"> totiž odpadá podmínka souhlasu soudu k účinnosti darovací smlouvy.</w:t>
      </w:r>
      <w:r w:rsidR="005C4648">
        <w:rPr>
          <w:rStyle w:val="Znakapoznpodarou"/>
        </w:rPr>
        <w:footnoteReference w:id="1"/>
      </w:r>
      <w:r w:rsidR="009516CA">
        <w:t xml:space="preserve"> </w:t>
      </w:r>
    </w:p>
    <w:p w14:paraId="3BBB64B0" w14:textId="0B396102" w:rsidR="00F36DF5" w:rsidRPr="00F36DF5" w:rsidRDefault="00440E5E" w:rsidP="00545FFF">
      <w:pPr>
        <w:spacing w:before="240" w:after="120" w:line="276" w:lineRule="auto"/>
        <w:jc w:val="both"/>
        <w:rPr>
          <w:b/>
        </w:rPr>
      </w:pPr>
      <w:r>
        <w:rPr>
          <w:b/>
        </w:rPr>
        <w:t>D</w:t>
      </w:r>
      <w:r w:rsidRPr="00F36DF5">
        <w:rPr>
          <w:b/>
        </w:rPr>
        <w:t>ůvody pro nevyžadování souhlasu soudu</w:t>
      </w:r>
    </w:p>
    <w:p w14:paraId="234EBD9D" w14:textId="41DBA6D3" w:rsidR="00C85FAD" w:rsidRDefault="00C85FAD" w:rsidP="00261704">
      <w:pPr>
        <w:spacing w:after="120" w:line="276" w:lineRule="auto"/>
        <w:jc w:val="both"/>
      </w:pPr>
      <w:r w:rsidRPr="00C85FAD">
        <w:t>Podle</w:t>
      </w:r>
      <w:r>
        <w:t xml:space="preserve"> výše citovaného</w:t>
      </w:r>
      <w:r w:rsidRPr="00C85FAD">
        <w:t xml:space="preserve"> </w:t>
      </w:r>
      <w:r>
        <w:t xml:space="preserve">ustanovení </w:t>
      </w:r>
      <w:r w:rsidRPr="00C85FAD">
        <w:t xml:space="preserve">§ 898 odst. </w:t>
      </w:r>
      <w:r w:rsidR="00A53D00">
        <w:t xml:space="preserve">1 </w:t>
      </w:r>
      <w:r w:rsidR="00426C1D">
        <w:t>občanského zákoníku</w:t>
      </w:r>
      <w:r w:rsidRPr="00C85FAD">
        <w:t xml:space="preserve"> platí, že k právnímu jednání, které se týká existujícího i budoucího jmění dítěte nebo jednotlivé součásti tohoto jmění, potřebují rodiče souhlas soudu, ledaže se jedná o běžné záležitosti, nebo o záležitosti sice výjimečné, ale týkající se zanedbatelné majetkové hodnoty. V odst. 2 jsou pak demonstrativně vyčteny případy, kde je souhlas soudu zapotřebí</w:t>
      </w:r>
      <w:r w:rsidR="00F832B1">
        <w:t xml:space="preserve"> (včetně </w:t>
      </w:r>
      <w:r w:rsidR="001A533E">
        <w:t>nabytí</w:t>
      </w:r>
      <w:r w:rsidR="00F832B1">
        <w:t xml:space="preserve"> nemovité věci). </w:t>
      </w:r>
    </w:p>
    <w:p w14:paraId="6F549C85" w14:textId="743F3874" w:rsidR="00262AB7" w:rsidRPr="00262AB7" w:rsidRDefault="00262AB7" w:rsidP="00262AB7">
      <w:pPr>
        <w:spacing w:after="120" w:line="276" w:lineRule="auto"/>
        <w:jc w:val="both"/>
      </w:pPr>
      <w:r w:rsidRPr="00262AB7">
        <w:t>Oborná literatura k rozhodovacímu kritériu, zda má být určité právní jednání nezletilého podmíněno souhlasem soudu uvádí, že „</w:t>
      </w:r>
      <w:r w:rsidRPr="00262AB7">
        <w:rPr>
          <w:i/>
          <w:iCs/>
        </w:rPr>
        <w:t>podstatné je, že omezení ve svéprávnosti má výlučně sloužit k ochraně osoby omezované ve svéprávnosti. Již se nezohledňuje veřejný zájem, jako tomu bylo podle staré úpravy. Při posouzení toho, zda posuzovanou osobu v</w:t>
      </w:r>
      <w:r>
        <w:rPr>
          <w:i/>
          <w:iCs/>
        </w:rPr>
        <w:t> </w:t>
      </w:r>
      <w:r w:rsidRPr="00262AB7">
        <w:rPr>
          <w:i/>
          <w:iCs/>
        </w:rPr>
        <w:t xml:space="preserve">určité oblasti omezit ve svéprávnosti a v jaké míře, musíme přihlédnout především k tomu, </w:t>
      </w:r>
      <w:r w:rsidRPr="00262AB7">
        <w:rPr>
          <w:i/>
          <w:iCs/>
        </w:rPr>
        <w:lastRenderedPageBreak/>
        <w:t>zda si osoba daným jednáním škodí či může uškodit</w:t>
      </w:r>
      <w:r w:rsidRPr="00262AB7">
        <w:t>.“</w:t>
      </w:r>
      <w:r>
        <w:rPr>
          <w:rStyle w:val="Znakapoznpodarou"/>
        </w:rPr>
        <w:footnoteReference w:id="2"/>
      </w:r>
      <w:r w:rsidR="005E2325">
        <w:t xml:space="preserve"> Žádnou relevantní judikaturu se autorovi k této problematice dohledat nepodařilo.</w:t>
      </w:r>
      <w:r w:rsidR="000F4B4C">
        <w:rPr>
          <w:rStyle w:val="Znakapoznpodarou"/>
        </w:rPr>
        <w:footnoteReference w:id="3"/>
      </w:r>
      <w:r w:rsidR="005E2325">
        <w:t xml:space="preserve"> </w:t>
      </w:r>
    </w:p>
    <w:p w14:paraId="4B78387F" w14:textId="06149CC8" w:rsidR="00262AB7" w:rsidRDefault="00C94A1C" w:rsidP="00261704">
      <w:pPr>
        <w:spacing w:after="120" w:line="276" w:lineRule="auto"/>
        <w:jc w:val="both"/>
      </w:pPr>
      <w:r w:rsidRPr="00C94A1C">
        <w:t xml:space="preserve">Zřízení zákazu zcizení a zatížení k cizí nemovité věci </w:t>
      </w:r>
      <w:r w:rsidR="00967E17">
        <w:t>však lze dle názoru autora</w:t>
      </w:r>
      <w:r w:rsidRPr="00C94A1C">
        <w:t xml:space="preserve"> prismatem ochrany </w:t>
      </w:r>
      <w:r w:rsidR="002C535C">
        <w:t>nezletilého</w:t>
      </w:r>
      <w:r w:rsidRPr="00C94A1C">
        <w:t xml:space="preserve"> považovat za záležitost zanedbatelné majetkové hodnoty. Zřízení tohoto zákazu totiž pro </w:t>
      </w:r>
      <w:r w:rsidR="003D6AB8">
        <w:t>nezletilého</w:t>
      </w:r>
      <w:r w:rsidRPr="00C94A1C">
        <w:t xml:space="preserve"> nenese žádné povinnosti či negativa a jeho samotná hodnota je také zanedbatelná (ve srovnání s hodnotou vlastnického práva k</w:t>
      </w:r>
      <w:r w:rsidR="005772AB">
        <w:t> </w:t>
      </w:r>
      <w:r w:rsidRPr="00C94A1C">
        <w:t xml:space="preserve">nemovité věci, k jehož převodu je souhlas soudu bezesporu potřeba). Zřízení zákazu zcizení a zatížení ve prospěch </w:t>
      </w:r>
      <w:r w:rsidR="00E86417">
        <w:t>nezletilého</w:t>
      </w:r>
      <w:r w:rsidRPr="00C94A1C">
        <w:t xml:space="preserve"> </w:t>
      </w:r>
      <w:r w:rsidR="00E86417">
        <w:t xml:space="preserve">mu </w:t>
      </w:r>
      <w:r w:rsidRPr="00C94A1C">
        <w:t xml:space="preserve">nemůže nijak uškodit. Naopak, vyžadování souhlasu soudu v této situaci by bylo spojeno s nutností vynaložení dalších nákladů na soudní výlohy a právní zastoupení </w:t>
      </w:r>
      <w:r w:rsidR="00A140F5">
        <w:t>nezletilého</w:t>
      </w:r>
      <w:r w:rsidRPr="00C94A1C">
        <w:t xml:space="preserve">, </w:t>
      </w:r>
      <w:r w:rsidR="00A140F5">
        <w:t xml:space="preserve">resp. jeho zákonných zástupců, </w:t>
      </w:r>
      <w:r w:rsidRPr="00C94A1C">
        <w:t xml:space="preserve">což by se samozřejmě dotklo i </w:t>
      </w:r>
      <w:r w:rsidR="00D87E79">
        <w:t>jeho</w:t>
      </w:r>
      <w:r w:rsidRPr="00C94A1C">
        <w:t xml:space="preserve"> samotné</w:t>
      </w:r>
      <w:r w:rsidR="00D87E79">
        <w:t>ho</w:t>
      </w:r>
      <w:r w:rsidRPr="00C94A1C">
        <w:t>. Formálně vzatá ochrana nezletilé</w:t>
      </w:r>
      <w:r w:rsidR="000B25FE">
        <w:t>ho</w:t>
      </w:r>
      <w:r w:rsidRPr="00C94A1C">
        <w:t xml:space="preserve"> by tak paradoxně působila proti </w:t>
      </w:r>
      <w:r w:rsidR="007569A3">
        <w:t>jejímu účelu</w:t>
      </w:r>
      <w:r w:rsidRPr="00C94A1C">
        <w:t>.</w:t>
      </w:r>
    </w:p>
    <w:p w14:paraId="7D308A7C" w14:textId="0BCACA5F" w:rsidR="00C94A1C" w:rsidRDefault="00C815E5" w:rsidP="00261704">
      <w:pPr>
        <w:spacing w:after="120" w:line="276" w:lineRule="auto"/>
        <w:jc w:val="both"/>
      </w:pPr>
      <w:r>
        <w:t xml:space="preserve">Autor je </w:t>
      </w:r>
      <w:r w:rsidR="00C94A1C" w:rsidRPr="00C94A1C">
        <w:t xml:space="preserve">přesvědčen, že zřízení zákazu zcizení a zatížení nespadá ani pod demonstrativně uvedené případy § 898 odst. 2 </w:t>
      </w:r>
      <w:r w:rsidR="009D736A">
        <w:t>občanského zákoníku</w:t>
      </w:r>
      <w:r w:rsidR="00C94A1C" w:rsidRPr="00C94A1C">
        <w:t>. Nejde o nabytí nemovité věci ani o</w:t>
      </w:r>
      <w:r w:rsidR="00F71C90">
        <w:t> </w:t>
      </w:r>
      <w:r w:rsidR="00C94A1C" w:rsidRPr="00C94A1C">
        <w:t xml:space="preserve">nakládání s ní ze strany </w:t>
      </w:r>
      <w:r w:rsidR="00A43DD4">
        <w:t xml:space="preserve">nezletilého </w:t>
      </w:r>
      <w:r w:rsidR="00C94A1C" w:rsidRPr="00C94A1C">
        <w:t>– s nemovitou věc</w:t>
      </w:r>
      <w:r w:rsidR="000467EE">
        <w:t>í</w:t>
      </w:r>
      <w:r w:rsidR="00C94A1C" w:rsidRPr="00C94A1C">
        <w:t xml:space="preserve"> v tomto případě nakládá pouze její </w:t>
      </w:r>
      <w:r w:rsidR="00A43DD4">
        <w:t>dárce (rodič, příbuzný, třetí osoba)</w:t>
      </w:r>
      <w:r w:rsidR="00C94A1C" w:rsidRPr="00C94A1C">
        <w:t xml:space="preserve">. Nejde zároveň ani o nabytí daru, </w:t>
      </w:r>
      <w:r w:rsidR="00B35019">
        <w:t xml:space="preserve">to </w:t>
      </w:r>
      <w:r w:rsidR="00C94A1C" w:rsidRPr="00C94A1C">
        <w:t xml:space="preserve">je </w:t>
      </w:r>
      <w:r w:rsidR="00583CC9">
        <w:t xml:space="preserve">totiž </w:t>
      </w:r>
      <w:r w:rsidR="00C94A1C" w:rsidRPr="00C94A1C">
        <w:t xml:space="preserve">dle </w:t>
      </w:r>
      <w:r w:rsidR="00274350">
        <w:t>posuzované</w:t>
      </w:r>
      <w:r w:rsidR="00583CC9">
        <w:t xml:space="preserve"> </w:t>
      </w:r>
      <w:r w:rsidR="00C94A1C" w:rsidRPr="00C94A1C">
        <w:t>darovací smlouvy odložen</w:t>
      </w:r>
      <w:r w:rsidR="00B35019">
        <w:t>o</w:t>
      </w:r>
      <w:r w:rsidR="00C94A1C" w:rsidRPr="00C94A1C">
        <w:t xml:space="preserve"> pro případ smrti </w:t>
      </w:r>
      <w:r w:rsidR="00EB25FA">
        <w:t>dárce</w:t>
      </w:r>
      <w:r w:rsidR="00D417B4">
        <w:t xml:space="preserve">. </w:t>
      </w:r>
      <w:r w:rsidR="00C94A1C" w:rsidRPr="00C94A1C">
        <w:t xml:space="preserve">Další v § 898 odst. 2 </w:t>
      </w:r>
      <w:r w:rsidR="0086157E">
        <w:t>občanského zákoníku</w:t>
      </w:r>
      <w:r w:rsidR="00C94A1C" w:rsidRPr="00C94A1C">
        <w:t xml:space="preserve"> vyjmenované případy se na předmětnou situaci zjevně nevztahují.</w:t>
      </w:r>
    </w:p>
    <w:p w14:paraId="5624E78B" w14:textId="7E151457" w:rsidR="00440E5E" w:rsidRPr="00440E5E" w:rsidRDefault="00440E5E" w:rsidP="00D750A9">
      <w:pPr>
        <w:spacing w:before="240" w:after="120" w:line="276" w:lineRule="auto"/>
        <w:jc w:val="both"/>
        <w:rPr>
          <w:b/>
        </w:rPr>
      </w:pPr>
      <w:r w:rsidRPr="00440E5E">
        <w:rPr>
          <w:b/>
        </w:rPr>
        <w:t>Komparace s rakouským právem</w:t>
      </w:r>
    </w:p>
    <w:p w14:paraId="71301FDD" w14:textId="074ED5BA" w:rsidR="003662A4" w:rsidRDefault="0049257D" w:rsidP="00261704">
      <w:pPr>
        <w:spacing w:after="120" w:line="276" w:lineRule="auto"/>
        <w:jc w:val="both"/>
      </w:pPr>
      <w:r>
        <w:t>Vzhledem k obecné inspiraci českého občanského zákoníku rakouskými vzory autor pro možnosti komparace uvádí také</w:t>
      </w:r>
      <w:r w:rsidR="00E37579">
        <w:t xml:space="preserve">, jak předmětnou problematiku upravuje rakouské právo. </w:t>
      </w:r>
    </w:p>
    <w:p w14:paraId="73618649" w14:textId="065404ED" w:rsidR="00BB0132" w:rsidRDefault="00E37579" w:rsidP="00261704">
      <w:pPr>
        <w:spacing w:after="120" w:line="276" w:lineRule="auto"/>
        <w:jc w:val="both"/>
      </w:pPr>
      <w:r w:rsidRPr="00E37579">
        <w:t xml:space="preserve">Skutečnost, že souhlasu soudu ke zřízení zákazu zcizení a zatížení ve prospěch </w:t>
      </w:r>
      <w:r w:rsidR="00634A3D">
        <w:t>nezletilého</w:t>
      </w:r>
      <w:r w:rsidRPr="00E37579">
        <w:t xml:space="preserve"> není potřeba, vyplývá z § 167 odst. 3 rakouského všeobecného občanského zákoníku („</w:t>
      </w:r>
      <w:r w:rsidRPr="00E37579">
        <w:rPr>
          <w:b/>
        </w:rPr>
        <w:t>ABGB</w:t>
      </w:r>
      <w:r w:rsidRPr="00E37579">
        <w:t>“)</w:t>
      </w:r>
      <w:r w:rsidR="00BB0132">
        <w:t xml:space="preserve">: </w:t>
      </w:r>
    </w:p>
    <w:p w14:paraId="7669F9D0" w14:textId="630E16AB" w:rsidR="00E37579" w:rsidRDefault="00BB0132" w:rsidP="00BB0132">
      <w:pPr>
        <w:spacing w:after="120" w:line="276" w:lineRule="auto"/>
        <w:ind w:left="567" w:right="565"/>
        <w:jc w:val="both"/>
      </w:pPr>
      <w:r w:rsidRPr="00BB0132">
        <w:t>„</w:t>
      </w:r>
      <w:r w:rsidRPr="00BB0132">
        <w:rPr>
          <w:i/>
        </w:rPr>
        <w:t>Zastupování a souhlas jednoho z rodičů v majetkových věcech potřebují ke své účinnosti také schválení druhým rodičem a potvrzení soudu v případě, že daná majetková záležitost nepatří mezi běžné hospodářské záležitosti. Mezi takové záležitosti patří především zcizení a zatížení nemovitých věcí, založení, včetně dědicko-právního, nabytí, přeměna, zcizení nebo zánik jakož i změna předmětu podnikání, nabytí podílu ve společnosti nebo družstvu či jejich přeměna, vzdání se dědictví, bezpodmínečné přijetí či odmítnutí dědictví, přijetí zatíženého daru či odmítnutí nabídky darování, investování peněz s výjimkou případů uvedených v §</w:t>
      </w:r>
      <w:r w:rsidR="00634A3D">
        <w:rPr>
          <w:i/>
        </w:rPr>
        <w:t> </w:t>
      </w:r>
      <w:r w:rsidRPr="00BB0132">
        <w:rPr>
          <w:i/>
        </w:rPr>
        <w:t>216 a § 217, jakož i podání žaloby a jakýchkoli procesních podání, které se týkají merita věci…</w:t>
      </w:r>
      <w:r w:rsidRPr="00BB0132">
        <w:t>“</w:t>
      </w:r>
      <w:r w:rsidR="00A10268">
        <w:rPr>
          <w:rStyle w:val="Znakapoznpodarou"/>
        </w:rPr>
        <w:footnoteReference w:id="4"/>
      </w:r>
    </w:p>
    <w:p w14:paraId="6CA0CDE0" w14:textId="29EF9C93" w:rsidR="00A10268" w:rsidRDefault="001F7F28" w:rsidP="000817DF">
      <w:pPr>
        <w:spacing w:after="120" w:line="276" w:lineRule="auto"/>
        <w:ind w:right="-2"/>
        <w:jc w:val="both"/>
        <w:rPr>
          <w:rFonts w:cs="Arial"/>
          <w:szCs w:val="22"/>
          <w:lang w:eastAsia="cs-CZ"/>
        </w:rPr>
      </w:pPr>
      <w:r w:rsidRPr="001F7F28">
        <w:rPr>
          <w:rFonts w:cs="Arial"/>
          <w:szCs w:val="22"/>
          <w:lang w:eastAsia="cs-CZ"/>
        </w:rPr>
        <w:lastRenderedPageBreak/>
        <w:t xml:space="preserve">Toto ustanovení tedy neuvádí zřízení zákazu zcizení a zatížení jako právní jednání, k němuž je potřeba souhlasu soudu. Z výčtu právních jednání, které toto ustanovení obsahuje, vyplývá, že souhlas soudu je potřeba v úplně jiných případech, než je zřízení zákazu zcizení a zatížení, a to </w:t>
      </w:r>
      <w:r w:rsidR="000467EE">
        <w:rPr>
          <w:rFonts w:cs="Arial"/>
          <w:szCs w:val="22"/>
          <w:lang w:eastAsia="cs-CZ"/>
        </w:rPr>
        <w:t xml:space="preserve">v </w:t>
      </w:r>
      <w:r w:rsidRPr="001F7F28">
        <w:rPr>
          <w:rFonts w:cs="Arial"/>
          <w:szCs w:val="22"/>
          <w:lang w:eastAsia="cs-CZ"/>
        </w:rPr>
        <w:t>případech, kde nezletilému hrozí závažná újma.</w:t>
      </w:r>
      <w:r w:rsidR="000817DF" w:rsidRPr="000817DF">
        <w:t xml:space="preserve"> </w:t>
      </w:r>
      <w:r w:rsidR="000817DF" w:rsidRPr="000817DF">
        <w:rPr>
          <w:rFonts w:cs="Arial"/>
          <w:szCs w:val="22"/>
          <w:lang w:eastAsia="cs-CZ"/>
        </w:rPr>
        <w:t>Textace tohoto ustanovení je navíc do velké míry podobná ustanovení § 898 občanského zákoníku.</w:t>
      </w:r>
    </w:p>
    <w:p w14:paraId="47417E84" w14:textId="05CC1ED3" w:rsidR="008E6D4D" w:rsidRDefault="008E6D4D" w:rsidP="000817DF">
      <w:pPr>
        <w:spacing w:after="120" w:line="276" w:lineRule="auto"/>
        <w:ind w:right="-2"/>
        <w:jc w:val="both"/>
      </w:pPr>
      <w:r w:rsidRPr="008E6D4D">
        <w:t>Rakouské právo navíc obsahuje zvláštní ustanovení § 364c odst. 2 ABGB o zřízení zákazu zcizení a zatížení mezi rodinnými příslušníky:</w:t>
      </w:r>
    </w:p>
    <w:p w14:paraId="02C72BAD" w14:textId="22C96CF6" w:rsidR="008E6D4D" w:rsidRDefault="008E6D4D" w:rsidP="00477FE4">
      <w:pPr>
        <w:spacing w:after="120" w:line="276" w:lineRule="auto"/>
        <w:ind w:left="567" w:right="565"/>
        <w:jc w:val="both"/>
        <w:rPr>
          <w:rFonts w:cs="Arial"/>
          <w:szCs w:val="22"/>
          <w:lang w:eastAsia="cs-CZ"/>
        </w:rPr>
      </w:pPr>
      <w:r w:rsidRPr="00477FE4">
        <w:rPr>
          <w:rFonts w:cs="Arial"/>
          <w:szCs w:val="22"/>
          <w:lang w:eastAsia="cs-CZ"/>
        </w:rPr>
        <w:t>„</w:t>
      </w:r>
      <w:r w:rsidRPr="008E6D4D">
        <w:rPr>
          <w:rFonts w:cs="Arial"/>
          <w:i/>
          <w:szCs w:val="22"/>
          <w:lang w:eastAsia="cs-CZ"/>
        </w:rPr>
        <w:t>Smluvní nebo testamentární zákaz zcizení a zatížení věci či věcného práva zavazuje pouze prvního vlastníka, nikoli však jeho dědice či jiné právní nástupce. Vůči třetím platí takový zákaz zcizení a zatížení tehdy, pokud byl ujednán mezi manželi, registrovanými partnery, rodiči a dětmi (…) a pokud byl takto zapsán do veřejného seznamu.</w:t>
      </w:r>
      <w:r w:rsidRPr="00477FE4">
        <w:rPr>
          <w:rFonts w:cs="Arial"/>
          <w:szCs w:val="22"/>
          <w:lang w:eastAsia="cs-CZ"/>
        </w:rPr>
        <w:t>“</w:t>
      </w:r>
      <w:r w:rsidRPr="008E6D4D">
        <w:rPr>
          <w:rFonts w:cs="Arial"/>
          <w:i/>
          <w:szCs w:val="22"/>
          <w:vertAlign w:val="superscript"/>
          <w:lang w:eastAsia="cs-CZ"/>
        </w:rPr>
        <w:footnoteReference w:id="5"/>
      </w:r>
    </w:p>
    <w:p w14:paraId="3B58CFBE" w14:textId="129B3397" w:rsidR="00F74D6E" w:rsidRDefault="00F74D6E" w:rsidP="00F9413E">
      <w:pPr>
        <w:spacing w:after="120" w:line="276" w:lineRule="auto"/>
        <w:ind w:right="-2"/>
        <w:jc w:val="both"/>
        <w:rPr>
          <w:rFonts w:cs="Arial"/>
          <w:szCs w:val="22"/>
          <w:lang w:eastAsia="cs-CZ"/>
        </w:rPr>
      </w:pPr>
      <w:r w:rsidRPr="00F74D6E">
        <w:rPr>
          <w:rFonts w:cs="Arial"/>
          <w:szCs w:val="22"/>
          <w:lang w:eastAsia="cs-CZ"/>
        </w:rPr>
        <w:t xml:space="preserve">Ve vztahu ke zřízení zákazu zatížení a zcizení ze strany rodičů ve prospěch dětí bylo rakouskou judikaturou dokonce dovozeno, že takový </w:t>
      </w:r>
      <w:r w:rsidRPr="0035635A">
        <w:rPr>
          <w:rFonts w:cs="Arial"/>
          <w:szCs w:val="22"/>
          <w:lang w:eastAsia="cs-CZ"/>
        </w:rPr>
        <w:t>zákaz může být zřízen i smlouvou ve prospěch třetí osoby a zapsán do katastru nemovitostí i bez výslovného souhlasu tohoto třetího – nezletilého dítěte</w:t>
      </w:r>
      <w:r w:rsidR="00F9413E">
        <w:rPr>
          <w:rFonts w:cs="Arial"/>
          <w:szCs w:val="22"/>
          <w:lang w:eastAsia="cs-CZ"/>
        </w:rPr>
        <w:t>.</w:t>
      </w:r>
      <w:r w:rsidR="00F9413E">
        <w:rPr>
          <w:rStyle w:val="Znakapoznpodarou"/>
          <w:rFonts w:cs="Arial"/>
          <w:szCs w:val="22"/>
          <w:lang w:eastAsia="cs-CZ"/>
        </w:rPr>
        <w:footnoteReference w:id="6"/>
      </w:r>
    </w:p>
    <w:p w14:paraId="484E497F" w14:textId="1B0E05CD" w:rsidR="00874AFF" w:rsidRDefault="003D4A8C" w:rsidP="003D4A8C">
      <w:pPr>
        <w:spacing w:after="120" w:line="276" w:lineRule="auto"/>
        <w:ind w:right="-2"/>
        <w:jc w:val="both"/>
      </w:pPr>
      <w:r w:rsidRPr="003D4A8C">
        <w:t xml:space="preserve">Toto rozhodnutí </w:t>
      </w:r>
      <w:r>
        <w:t>bylo</w:t>
      </w:r>
      <w:r w:rsidRPr="003D4A8C">
        <w:t xml:space="preserve"> dále citováno v renomovaných právnických časopisech, kde je k němu komentováno, že důsledky tohoto rozhodnutí bude možné využít zejména v případech rozvodu rodičů, při nichž bude uzavřena smlouva o zřízení zákazu zcizení a zatížení nemovité věci, kterou chtějí zanechat jako pozůstalost svému společnému dítěti.</w:t>
      </w:r>
      <w:r w:rsidR="005D68B6">
        <w:rPr>
          <w:rStyle w:val="Znakapoznpodarou"/>
        </w:rPr>
        <w:footnoteReference w:id="7"/>
      </w:r>
    </w:p>
    <w:p w14:paraId="0401517C" w14:textId="7DC265FD" w:rsidR="006F3125" w:rsidRDefault="006F3125" w:rsidP="003D4A8C">
      <w:pPr>
        <w:spacing w:after="120" w:line="276" w:lineRule="auto"/>
        <w:ind w:right="-2"/>
        <w:jc w:val="both"/>
      </w:pPr>
      <w:r w:rsidRPr="006F3125">
        <w:t xml:space="preserve">Rakouské právo tak umožňuje zřídit zákaz zcizení a zatížení ve prospěch nezletilého nejen bez souhlasu soudu, ale dokonce i bez jakéhokoli projevu vůle na straně daného nezletilého, ba dokonce rakouské právo umožňuje zřízení takového zákazu a jeho zápis do katastru nemovitostí bez projevu vůle i v případě, že oprávněným třetím je osoba zletilá. </w:t>
      </w:r>
    </w:p>
    <w:p w14:paraId="16A91CC5" w14:textId="0867219B" w:rsidR="00456D0C" w:rsidRPr="00456D0C" w:rsidRDefault="00456D0C" w:rsidP="003D4A8C">
      <w:pPr>
        <w:spacing w:after="120" w:line="276" w:lineRule="auto"/>
        <w:ind w:right="-2"/>
        <w:jc w:val="both"/>
        <w:rPr>
          <w:b/>
        </w:rPr>
      </w:pPr>
      <w:r w:rsidRPr="00456D0C">
        <w:rPr>
          <w:b/>
        </w:rPr>
        <w:t>Závěr</w:t>
      </w:r>
    </w:p>
    <w:p w14:paraId="7780E6E3" w14:textId="64F052EB" w:rsidR="00456D0C" w:rsidRPr="00ED6AA9" w:rsidRDefault="00BB586C" w:rsidP="003D4A8C">
      <w:pPr>
        <w:spacing w:after="120" w:line="276" w:lineRule="auto"/>
        <w:ind w:right="-2"/>
        <w:jc w:val="both"/>
      </w:pPr>
      <w:r>
        <w:t xml:space="preserve">Z jazykového ani systematického výkladu příslušných ustanovení občanského zákoníku sice nelze jednoznačně dovodit, zda je ke zřízení zákazu zcizení a zatížení k nemovité věci </w:t>
      </w:r>
      <w:r>
        <w:lastRenderedPageBreak/>
        <w:t>ve</w:t>
      </w:r>
      <w:r w:rsidR="00830912">
        <w:t> </w:t>
      </w:r>
      <w:r>
        <w:t xml:space="preserve">prospěch nezletilého potřeba souhlasu soudu, avšak z teleologického (ochrana nezletilého) a podpůrně i komparativního (rakouský vzor českého občanského zákoníku) lze dovodit, že takového </w:t>
      </w:r>
      <w:r w:rsidR="0035121D">
        <w:t xml:space="preserve">souhlasu </w:t>
      </w:r>
      <w:r w:rsidR="00022026">
        <w:t xml:space="preserve">v tomto případě není potřeba. </w:t>
      </w:r>
      <w:r w:rsidR="00A3174E">
        <w:t xml:space="preserve">Závěrem může autor dodat, že v praxi se s podobným problémem setkal pouze jednou a </w:t>
      </w:r>
      <w:r w:rsidR="004B0D93">
        <w:t xml:space="preserve">Katastrální úřad pro hlavní město Prahu, katastrální pracoviště Praha se s tímto výkladem ztotožnil a vklad zákazu zcizení a zatížení ve prospěch nezletilého povolil i bez souhlasu soudu. </w:t>
      </w:r>
    </w:p>
    <w:sectPr w:rsidR="00456D0C" w:rsidRPr="00ED6AA9" w:rsidSect="001D4D32">
      <w:footerReference w:type="even" r:id="rId8"/>
      <w:footerReference w:type="default" r:id="rId9"/>
      <w:pgSz w:w="11906" w:h="16838" w:code="9"/>
      <w:pgMar w:top="1701" w:right="1418" w:bottom="1418"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A238" w14:textId="77777777" w:rsidR="0047461D" w:rsidRDefault="0047461D">
      <w:r>
        <w:separator/>
      </w:r>
    </w:p>
  </w:endnote>
  <w:endnote w:type="continuationSeparator" w:id="0">
    <w:p w14:paraId="2249A9A6" w14:textId="77777777" w:rsidR="0047461D" w:rsidRDefault="0047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A49A" w14:textId="77777777" w:rsidR="00592E3D" w:rsidRDefault="00592E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C36993C" w14:textId="77777777" w:rsidR="00592E3D" w:rsidRDefault="00592E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BDBFE" w14:textId="1143E3D7" w:rsidR="00592E3D" w:rsidRPr="007018BE" w:rsidRDefault="007018BE" w:rsidP="007018BE">
    <w:pPr>
      <w:pStyle w:val="Zpa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B0F3" w14:textId="77777777" w:rsidR="0047461D" w:rsidRDefault="0047461D">
      <w:r>
        <w:separator/>
      </w:r>
    </w:p>
  </w:footnote>
  <w:footnote w:type="continuationSeparator" w:id="0">
    <w:p w14:paraId="70C20E7E" w14:textId="77777777" w:rsidR="0047461D" w:rsidRDefault="0047461D">
      <w:r>
        <w:continuationSeparator/>
      </w:r>
    </w:p>
  </w:footnote>
  <w:footnote w:id="1">
    <w:p w14:paraId="1FBF5F8C" w14:textId="44114B9B" w:rsidR="005C4648" w:rsidRDefault="005C4648" w:rsidP="005C4648">
      <w:pPr>
        <w:pStyle w:val="Textpoznpodarou"/>
      </w:pPr>
      <w:r>
        <w:rPr>
          <w:rStyle w:val="Znakapoznpodarou"/>
        </w:rPr>
        <w:footnoteRef/>
      </w:r>
      <w:r>
        <w:t xml:space="preserve"> </w:t>
      </w:r>
      <w:r>
        <w:tab/>
        <w:t xml:space="preserve">HRUŠÁKOVÁ, M. HULMÁK, M. KRÁLÍČKOVÁ, Z. a kol. </w:t>
      </w:r>
      <w:r w:rsidRPr="005C4648">
        <w:rPr>
          <w:i/>
        </w:rPr>
        <w:t>Občanský zákoník II. Rodinné právo (§ 655−975).</w:t>
      </w:r>
      <w:r>
        <w:t xml:space="preserve"> 1. vyd. Praha: C. H. Beck, 2014, s. 985 (cit. z Beck-online, komentář k § 898). </w:t>
      </w:r>
    </w:p>
  </w:footnote>
  <w:footnote w:id="2">
    <w:p w14:paraId="44FC60CC" w14:textId="7A3C6AF6" w:rsidR="00262AB7" w:rsidRDefault="00262AB7">
      <w:pPr>
        <w:pStyle w:val="Textpoznpodarou"/>
      </w:pPr>
      <w:r>
        <w:rPr>
          <w:rStyle w:val="Znakapoznpodarou"/>
        </w:rPr>
        <w:footnoteRef/>
      </w:r>
      <w:r>
        <w:t xml:space="preserve"> </w:t>
      </w:r>
      <w:r>
        <w:tab/>
      </w:r>
      <w:r w:rsidRPr="00262AB7">
        <w:t xml:space="preserve">SPÁČILOVÁ, Z. et. al. </w:t>
      </w:r>
      <w:r w:rsidRPr="00262AB7">
        <w:rPr>
          <w:i/>
        </w:rPr>
        <w:t>Právní jednání osob s omezenou svéprávností</w:t>
      </w:r>
      <w:r w:rsidRPr="00262AB7">
        <w:t>. Soudce (</w:t>
      </w:r>
      <w:proofErr w:type="spellStart"/>
      <w:r w:rsidRPr="00262AB7">
        <w:t>Wolters</w:t>
      </w:r>
      <w:proofErr w:type="spellEnd"/>
      <w:r w:rsidRPr="00262AB7">
        <w:t xml:space="preserve"> </w:t>
      </w:r>
      <w:proofErr w:type="spellStart"/>
      <w:r w:rsidRPr="00262AB7">
        <w:t>Kluwer</w:t>
      </w:r>
      <w:proofErr w:type="spellEnd"/>
      <w:r w:rsidRPr="00262AB7">
        <w:t xml:space="preserve">), roč. 2016. č. 3, s. 2, obdobně srov. FRINTA, O. </w:t>
      </w:r>
      <w:proofErr w:type="spellStart"/>
      <w:r w:rsidRPr="00262AB7">
        <w:rPr>
          <w:i/>
        </w:rPr>
        <w:t>OaO</w:t>
      </w:r>
      <w:proofErr w:type="spellEnd"/>
      <w:r w:rsidRPr="00262AB7">
        <w:rPr>
          <w:i/>
        </w:rPr>
        <w:t>: Mohou rodiče činit právní jednání za své nezletilé dítě? Existují v nové právní úpravě omezení takového jednání rodičů?</w:t>
      </w:r>
      <w:r w:rsidRPr="00262AB7">
        <w:t xml:space="preserve"> Rekodifikace &amp; praxe (</w:t>
      </w:r>
      <w:proofErr w:type="spellStart"/>
      <w:r w:rsidRPr="00262AB7">
        <w:t>Wolters</w:t>
      </w:r>
      <w:proofErr w:type="spellEnd"/>
      <w:r w:rsidRPr="00262AB7">
        <w:t xml:space="preserve"> </w:t>
      </w:r>
      <w:proofErr w:type="spellStart"/>
      <w:r w:rsidRPr="00262AB7">
        <w:t>Kluwer</w:t>
      </w:r>
      <w:proofErr w:type="spellEnd"/>
      <w:r w:rsidRPr="00262AB7">
        <w:t>), roč. 2015, č. 5, s. 25</w:t>
      </w:r>
      <w:r w:rsidR="00DE1676">
        <w:t xml:space="preserve"> nebo</w:t>
      </w:r>
      <w:r w:rsidRPr="00262AB7">
        <w:t xml:space="preserve"> HEXNER, A. MATAS, M. </w:t>
      </w:r>
      <w:r w:rsidRPr="00DE1676">
        <w:rPr>
          <w:i/>
        </w:rPr>
        <w:t>Nabývání svéprávnosti nezletilými a nepříznivé důsledky současné právní úpravy, 1. část</w:t>
      </w:r>
      <w:r w:rsidRPr="00262AB7">
        <w:t>. Soukromé právo (</w:t>
      </w:r>
      <w:proofErr w:type="spellStart"/>
      <w:r w:rsidRPr="00262AB7">
        <w:t>Wolters</w:t>
      </w:r>
      <w:proofErr w:type="spellEnd"/>
      <w:r w:rsidRPr="00262AB7">
        <w:t xml:space="preserve"> </w:t>
      </w:r>
      <w:proofErr w:type="spellStart"/>
      <w:r w:rsidRPr="00262AB7">
        <w:t>Kluwer</w:t>
      </w:r>
      <w:proofErr w:type="spellEnd"/>
      <w:r w:rsidRPr="00262AB7">
        <w:t>), roč. 2018, č. 5, s. 9.</w:t>
      </w:r>
    </w:p>
  </w:footnote>
  <w:footnote w:id="3">
    <w:p w14:paraId="3865AC7B" w14:textId="7D83A8F1" w:rsidR="000F4B4C" w:rsidRDefault="000F4B4C">
      <w:pPr>
        <w:pStyle w:val="Textpoznpodarou"/>
      </w:pPr>
      <w:r>
        <w:rPr>
          <w:rStyle w:val="Znakapoznpodarou"/>
        </w:rPr>
        <w:footnoteRef/>
      </w:r>
      <w:r>
        <w:t xml:space="preserve"> </w:t>
      </w:r>
      <w:r>
        <w:tab/>
        <w:t xml:space="preserve">V této souvislosti je třeba připomenout, že </w:t>
      </w:r>
      <w:r w:rsidR="00C3095B">
        <w:t xml:space="preserve">možnost zřízení zákazu zcizení a zatížení jako věcného práva byla do českého právního řádu zavedena </w:t>
      </w:r>
      <w:r w:rsidR="00D95ABE">
        <w:t xml:space="preserve">až </w:t>
      </w:r>
      <w:r w:rsidR="00C3095B">
        <w:t xml:space="preserve">novým občanským zákoníkem </w:t>
      </w:r>
      <w:r w:rsidR="00FE6A71">
        <w:t xml:space="preserve">s účinností </w:t>
      </w:r>
      <w:r w:rsidR="00C3095B">
        <w:t xml:space="preserve">od 1. ledna 2014. </w:t>
      </w:r>
    </w:p>
  </w:footnote>
  <w:footnote w:id="4">
    <w:p w14:paraId="2E887890" w14:textId="4BEE0ED9" w:rsidR="00A10268" w:rsidRPr="00A10268" w:rsidRDefault="00A10268" w:rsidP="00A10268">
      <w:pPr>
        <w:pStyle w:val="Textpoznpodarou"/>
        <w:rPr>
          <w:rFonts w:cs="Arial"/>
          <w:i/>
          <w:szCs w:val="18"/>
          <w:lang w:val="de-DE" w:eastAsia="cs-CZ"/>
        </w:rPr>
      </w:pPr>
      <w:r>
        <w:rPr>
          <w:rStyle w:val="Znakapoznpodarou"/>
        </w:rPr>
        <w:footnoteRef/>
      </w:r>
      <w:r>
        <w:t xml:space="preserve"> </w:t>
      </w:r>
      <w:r>
        <w:tab/>
      </w:r>
      <w:r w:rsidRPr="00540E0D">
        <w:rPr>
          <w:rFonts w:cs="Arial"/>
          <w:szCs w:val="18"/>
          <w:lang w:val="de-DE" w:eastAsia="cs-CZ"/>
        </w:rPr>
        <w:t>„</w:t>
      </w:r>
      <w:r w:rsidRPr="00A10268">
        <w:rPr>
          <w:rFonts w:cs="Arial"/>
          <w:i/>
          <w:szCs w:val="18"/>
          <w:lang w:val="de-DE" w:eastAsia="cs-CZ"/>
        </w:rPr>
        <w:t xml:space="preserve">Vertretungshandlungen und Einwilligungen eines Elternteils in Vermögensangelegenheiten bedürfen zu ihrer Rechtswirksamkeit der Zustimmung des anderen </w:t>
      </w:r>
      <w:proofErr w:type="spellStart"/>
      <w:r w:rsidRPr="00A10268">
        <w:rPr>
          <w:rFonts w:cs="Arial"/>
          <w:i/>
          <w:szCs w:val="18"/>
          <w:lang w:val="de-DE" w:eastAsia="cs-CZ"/>
        </w:rPr>
        <w:t>obsorgebetrauten</w:t>
      </w:r>
      <w:proofErr w:type="spellEnd"/>
      <w:r w:rsidRPr="00A10268">
        <w:rPr>
          <w:rFonts w:cs="Arial"/>
          <w:i/>
          <w:szCs w:val="18"/>
          <w:lang w:val="de-DE" w:eastAsia="cs-CZ"/>
        </w:rPr>
        <w:t xml:space="preserve"> Elternteils und der Genehmigung des Gerichtes, sofern die Vermögensangelegenheit nicht zum ordentlichen Wirtschaftsbetrieb gehört. Unter dieser Voraussetzung gehören dazu besonders die Veräußerung oder Belastung von Liegenschaften, die Gründung, der, auch erbrechtliche, Erwerb, die Umwandlung, Veräußerung oder Auflösung sowie die Änderung des Gegenstandes eines Unternehmens, der, auch erbrechtliche, Eintritt in eine oder die Umwandlung einer Gesellschaft oder Genossenschaft, der Verzicht auf ein Erbrecht, die unbedingte Annahme oder die Ausschlagung einer Erbschaft, die Annahme einer mit Belastungen verbundenen Schenkung oder die Ablehnung eines Schenkungsangebots, die Anlegung von Geld mit Ausnahme der in den §§ 216 und 217 geregelten Arten sowie die Erhebung einer Klage und alle verfahrensrechtlichen Verfügungen, die den Verfahrensgegenstand an sich betreffen. Dies gilt nicht für die Entgegennahme von Willenserklärungen und Zustellstücken</w:t>
      </w:r>
      <w:r w:rsidR="00540E0D">
        <w:rPr>
          <w:rFonts w:cs="Arial"/>
          <w:i/>
          <w:szCs w:val="18"/>
          <w:lang w:val="de-DE" w:eastAsia="cs-CZ"/>
        </w:rPr>
        <w:t>.</w:t>
      </w:r>
      <w:r w:rsidRPr="00540E0D">
        <w:rPr>
          <w:rFonts w:cs="Arial"/>
          <w:szCs w:val="18"/>
          <w:lang w:val="de-DE" w:eastAsia="cs-CZ"/>
        </w:rPr>
        <w:t>“</w:t>
      </w:r>
    </w:p>
  </w:footnote>
  <w:footnote w:id="5">
    <w:p w14:paraId="1263CDCC" w14:textId="7E397B71" w:rsidR="008E6D4D" w:rsidRPr="008E6D4D" w:rsidRDefault="008E6D4D" w:rsidP="008E6D4D">
      <w:pPr>
        <w:pStyle w:val="Textpoznpodarou"/>
        <w:rPr>
          <w:szCs w:val="18"/>
          <w:lang w:val="de-DE"/>
        </w:rPr>
      </w:pPr>
      <w:r w:rsidRPr="00025B63">
        <w:rPr>
          <w:rStyle w:val="Znakapoznpodarou"/>
          <w:i/>
          <w:szCs w:val="18"/>
        </w:rPr>
        <w:footnoteRef/>
      </w:r>
      <w:r w:rsidRPr="00025B63">
        <w:rPr>
          <w:i/>
          <w:szCs w:val="18"/>
        </w:rPr>
        <w:t xml:space="preserve"> </w:t>
      </w:r>
      <w:r w:rsidRPr="00025B63">
        <w:rPr>
          <w:i/>
          <w:szCs w:val="18"/>
        </w:rPr>
        <w:tab/>
      </w:r>
      <w:r w:rsidRPr="008E6D4D">
        <w:rPr>
          <w:i/>
          <w:szCs w:val="18"/>
        </w:rPr>
        <w:t>„</w:t>
      </w:r>
      <w:r w:rsidRPr="00025B63">
        <w:rPr>
          <w:i/>
          <w:szCs w:val="18"/>
          <w:lang w:val="de-DE"/>
        </w:rPr>
        <w:t>Ein vertragsmäßiges oder letztwilliges Veräußerungs- oder Belastungsverbot hinsichtlich einer Sache oder eines dinglichen Rechtes verpflichtet nur den ersten Eigentümer, nicht aber seine Erben oder sonstigen Rechtsnachfolger. Gegen Dritte wirkt es dann, wenn es zwischen Ehegatten, eingetragenen Partnern, Eltern und Kindern, Wahl- oder Pflegekindern oder deren Ehegatten oder eingetragenen Partnern begründet und im öffentlichen Buche eingetragen wurde.</w:t>
      </w:r>
      <w:r>
        <w:rPr>
          <w:szCs w:val="18"/>
          <w:lang w:val="de-DE"/>
        </w:rPr>
        <w:t>“</w:t>
      </w:r>
    </w:p>
  </w:footnote>
  <w:footnote w:id="6">
    <w:p w14:paraId="2354D544" w14:textId="0FBA92EF" w:rsidR="00F9413E" w:rsidRDefault="00F9413E" w:rsidP="00F9413E">
      <w:pPr>
        <w:pStyle w:val="Textpoznpodarou"/>
      </w:pPr>
      <w:r>
        <w:rPr>
          <w:rStyle w:val="Znakapoznpodarou"/>
        </w:rPr>
        <w:footnoteRef/>
      </w:r>
      <w:r>
        <w:t xml:space="preserve"> </w:t>
      </w:r>
      <w:r>
        <w:tab/>
        <w:t>Srov. r</w:t>
      </w:r>
      <w:r w:rsidRPr="00F74D6E">
        <w:t xml:space="preserve">ozhodnutí rakouského Nejvyššího soudního dvora ze dne 25. 8. 2016, </w:t>
      </w:r>
      <w:proofErr w:type="spellStart"/>
      <w:r w:rsidRPr="00F74D6E">
        <w:t>sp</w:t>
      </w:r>
      <w:proofErr w:type="spellEnd"/>
      <w:r w:rsidRPr="00F74D6E">
        <w:t>. zn. 5 Ob 53/16d, odst. 11</w:t>
      </w:r>
      <w:r>
        <w:t xml:space="preserve">: </w:t>
      </w:r>
      <w:r w:rsidRPr="00F9413E">
        <w:t>„</w:t>
      </w:r>
      <w:r w:rsidRPr="00F9413E">
        <w:rPr>
          <w:i/>
        </w:rPr>
        <w:t>Zákaz zcizení a zatížení, který byl sjednán ve smlouvě ve prospěch třetího, může být zapsán do</w:t>
      </w:r>
      <w:r w:rsidR="004266E8">
        <w:rPr>
          <w:i/>
        </w:rPr>
        <w:t> </w:t>
      </w:r>
      <w:r w:rsidRPr="00F9413E">
        <w:rPr>
          <w:i/>
        </w:rPr>
        <w:t>katastru nemovitostí bez předložení řádného projevu vůle strany, v jejíž prospěch bylo tak sjednáno.</w:t>
      </w:r>
      <w:r w:rsidRPr="00F9413E">
        <w:t>“</w:t>
      </w:r>
      <w:r>
        <w:t xml:space="preserve"> </w:t>
      </w:r>
      <w:r w:rsidR="00331F2D">
        <w:t>V německém jazyce zní citovaná pasáž takto:</w:t>
      </w:r>
      <w:r w:rsidR="00331F2D" w:rsidRPr="00331F2D">
        <w:t xml:space="preserve"> „</w:t>
      </w:r>
      <w:proofErr w:type="spellStart"/>
      <w:r w:rsidR="00331F2D" w:rsidRPr="00331F2D">
        <w:rPr>
          <w:i/>
        </w:rPr>
        <w:t>Ein</w:t>
      </w:r>
      <w:proofErr w:type="spellEnd"/>
      <w:r w:rsidR="00331F2D" w:rsidRPr="00331F2D">
        <w:rPr>
          <w:i/>
        </w:rPr>
        <w:t xml:space="preserve"> </w:t>
      </w:r>
      <w:proofErr w:type="spellStart"/>
      <w:r w:rsidR="00331F2D" w:rsidRPr="00331F2D">
        <w:rPr>
          <w:i/>
        </w:rPr>
        <w:t>Veräußerungs</w:t>
      </w:r>
      <w:proofErr w:type="spellEnd"/>
      <w:r w:rsidR="00331F2D" w:rsidRPr="00331F2D">
        <w:rPr>
          <w:i/>
        </w:rPr>
        <w:t xml:space="preserve">- </w:t>
      </w:r>
      <w:proofErr w:type="spellStart"/>
      <w:r w:rsidR="00331F2D" w:rsidRPr="00331F2D">
        <w:rPr>
          <w:i/>
        </w:rPr>
        <w:t>und</w:t>
      </w:r>
      <w:proofErr w:type="spellEnd"/>
      <w:r w:rsidR="00331F2D" w:rsidRPr="00331F2D">
        <w:rPr>
          <w:i/>
        </w:rPr>
        <w:t xml:space="preserve"> </w:t>
      </w:r>
      <w:proofErr w:type="spellStart"/>
      <w:r w:rsidR="00331F2D" w:rsidRPr="00331F2D">
        <w:rPr>
          <w:i/>
        </w:rPr>
        <w:t>Belastungsverbot</w:t>
      </w:r>
      <w:proofErr w:type="spellEnd"/>
      <w:r w:rsidR="00331F2D" w:rsidRPr="00331F2D">
        <w:rPr>
          <w:i/>
        </w:rPr>
        <w:t xml:space="preserve">, </w:t>
      </w:r>
      <w:proofErr w:type="spellStart"/>
      <w:r w:rsidR="00331F2D" w:rsidRPr="00331F2D">
        <w:rPr>
          <w:i/>
        </w:rPr>
        <w:t>das</w:t>
      </w:r>
      <w:proofErr w:type="spellEnd"/>
      <w:r w:rsidR="00331F2D" w:rsidRPr="00331F2D">
        <w:rPr>
          <w:i/>
        </w:rPr>
        <w:t xml:space="preserve"> in </w:t>
      </w:r>
      <w:proofErr w:type="spellStart"/>
      <w:r w:rsidR="00331F2D" w:rsidRPr="00331F2D">
        <w:rPr>
          <w:i/>
        </w:rPr>
        <w:t>einem</w:t>
      </w:r>
      <w:proofErr w:type="spellEnd"/>
      <w:r w:rsidR="00331F2D" w:rsidRPr="00331F2D">
        <w:rPr>
          <w:i/>
        </w:rPr>
        <w:t xml:space="preserve"> </w:t>
      </w:r>
      <w:proofErr w:type="spellStart"/>
      <w:r w:rsidR="00331F2D" w:rsidRPr="00331F2D">
        <w:rPr>
          <w:i/>
        </w:rPr>
        <w:t>echten</w:t>
      </w:r>
      <w:proofErr w:type="spellEnd"/>
      <w:r w:rsidR="00331F2D" w:rsidRPr="00331F2D">
        <w:rPr>
          <w:i/>
        </w:rPr>
        <w:t xml:space="preserve"> </w:t>
      </w:r>
      <w:proofErr w:type="spellStart"/>
      <w:r w:rsidR="00331F2D" w:rsidRPr="00331F2D">
        <w:rPr>
          <w:i/>
        </w:rPr>
        <w:t>Vertrag</w:t>
      </w:r>
      <w:proofErr w:type="spellEnd"/>
      <w:r w:rsidR="00331F2D" w:rsidRPr="00331F2D">
        <w:rPr>
          <w:i/>
        </w:rPr>
        <w:t xml:space="preserve"> </w:t>
      </w:r>
      <w:proofErr w:type="spellStart"/>
      <w:r w:rsidR="00331F2D" w:rsidRPr="00331F2D">
        <w:rPr>
          <w:i/>
        </w:rPr>
        <w:t>zugunsten</w:t>
      </w:r>
      <w:proofErr w:type="spellEnd"/>
      <w:r w:rsidR="00331F2D" w:rsidRPr="00331F2D">
        <w:rPr>
          <w:i/>
        </w:rPr>
        <w:t xml:space="preserve"> </w:t>
      </w:r>
      <w:proofErr w:type="spellStart"/>
      <w:r w:rsidR="00331F2D" w:rsidRPr="00331F2D">
        <w:rPr>
          <w:i/>
        </w:rPr>
        <w:t>Dritter</w:t>
      </w:r>
      <w:proofErr w:type="spellEnd"/>
      <w:r w:rsidR="00331F2D" w:rsidRPr="00331F2D">
        <w:rPr>
          <w:i/>
        </w:rPr>
        <w:t xml:space="preserve"> </w:t>
      </w:r>
      <w:proofErr w:type="spellStart"/>
      <w:r w:rsidR="00331F2D" w:rsidRPr="00331F2D">
        <w:rPr>
          <w:i/>
        </w:rPr>
        <w:t>vereinbart</w:t>
      </w:r>
      <w:proofErr w:type="spellEnd"/>
      <w:r w:rsidR="00331F2D" w:rsidRPr="00331F2D">
        <w:rPr>
          <w:i/>
        </w:rPr>
        <w:t xml:space="preserve"> </w:t>
      </w:r>
      <w:proofErr w:type="spellStart"/>
      <w:r w:rsidR="00331F2D" w:rsidRPr="00331F2D">
        <w:rPr>
          <w:i/>
        </w:rPr>
        <w:t>wurde</w:t>
      </w:r>
      <w:proofErr w:type="spellEnd"/>
      <w:r w:rsidR="00331F2D" w:rsidRPr="00331F2D">
        <w:rPr>
          <w:i/>
        </w:rPr>
        <w:t xml:space="preserve">, kann ohne in </w:t>
      </w:r>
      <w:proofErr w:type="spellStart"/>
      <w:r w:rsidR="00331F2D" w:rsidRPr="00331F2D">
        <w:rPr>
          <w:i/>
        </w:rPr>
        <w:t>grundbuchsfähiger</w:t>
      </w:r>
      <w:proofErr w:type="spellEnd"/>
      <w:r w:rsidR="00331F2D" w:rsidRPr="00331F2D">
        <w:rPr>
          <w:i/>
        </w:rPr>
        <w:t xml:space="preserve"> </w:t>
      </w:r>
      <w:proofErr w:type="spellStart"/>
      <w:r w:rsidR="00331F2D" w:rsidRPr="00331F2D">
        <w:rPr>
          <w:i/>
        </w:rPr>
        <w:t>Form</w:t>
      </w:r>
      <w:proofErr w:type="spellEnd"/>
      <w:r w:rsidR="00331F2D" w:rsidRPr="00331F2D">
        <w:rPr>
          <w:i/>
        </w:rPr>
        <w:t xml:space="preserve"> </w:t>
      </w:r>
      <w:proofErr w:type="spellStart"/>
      <w:r w:rsidR="00331F2D" w:rsidRPr="00331F2D">
        <w:rPr>
          <w:i/>
        </w:rPr>
        <w:t>vorliegende</w:t>
      </w:r>
      <w:proofErr w:type="spellEnd"/>
      <w:r w:rsidR="00331F2D" w:rsidRPr="00331F2D">
        <w:rPr>
          <w:i/>
        </w:rPr>
        <w:t xml:space="preserve"> </w:t>
      </w:r>
      <w:proofErr w:type="spellStart"/>
      <w:r w:rsidR="00331F2D" w:rsidRPr="00331F2D">
        <w:rPr>
          <w:i/>
        </w:rPr>
        <w:t>Annahmeerklärung</w:t>
      </w:r>
      <w:proofErr w:type="spellEnd"/>
      <w:r w:rsidR="00331F2D" w:rsidRPr="00331F2D">
        <w:rPr>
          <w:i/>
        </w:rPr>
        <w:t xml:space="preserve"> des </w:t>
      </w:r>
      <w:proofErr w:type="spellStart"/>
      <w:r w:rsidR="00331F2D" w:rsidRPr="00331F2D">
        <w:rPr>
          <w:i/>
        </w:rPr>
        <w:t>Begünstigten</w:t>
      </w:r>
      <w:proofErr w:type="spellEnd"/>
      <w:r w:rsidR="00331F2D" w:rsidRPr="00331F2D">
        <w:rPr>
          <w:i/>
        </w:rPr>
        <w:t xml:space="preserve"> </w:t>
      </w:r>
      <w:proofErr w:type="spellStart"/>
      <w:r w:rsidR="00331F2D" w:rsidRPr="00331F2D">
        <w:rPr>
          <w:i/>
        </w:rPr>
        <w:t>einverleibt</w:t>
      </w:r>
      <w:proofErr w:type="spellEnd"/>
      <w:r w:rsidR="00331F2D" w:rsidRPr="00331F2D">
        <w:rPr>
          <w:i/>
        </w:rPr>
        <w:t xml:space="preserve"> </w:t>
      </w:r>
      <w:proofErr w:type="spellStart"/>
      <w:r w:rsidR="00331F2D" w:rsidRPr="00331F2D">
        <w:rPr>
          <w:i/>
        </w:rPr>
        <w:t>werden</w:t>
      </w:r>
      <w:proofErr w:type="spellEnd"/>
      <w:r w:rsidR="00331F2D" w:rsidRPr="00331F2D">
        <w:rPr>
          <w:i/>
        </w:rPr>
        <w:t xml:space="preserve">. </w:t>
      </w:r>
      <w:proofErr w:type="spellStart"/>
      <w:r w:rsidR="00331F2D" w:rsidRPr="00331F2D">
        <w:rPr>
          <w:i/>
        </w:rPr>
        <w:t>Das</w:t>
      </w:r>
      <w:proofErr w:type="spellEnd"/>
      <w:r w:rsidR="00331F2D" w:rsidRPr="00331F2D">
        <w:rPr>
          <w:i/>
        </w:rPr>
        <w:t xml:space="preserve"> in § 364c </w:t>
      </w:r>
      <w:proofErr w:type="spellStart"/>
      <w:r w:rsidR="00331F2D" w:rsidRPr="00331F2D">
        <w:rPr>
          <w:i/>
        </w:rPr>
        <w:t>Satz</w:t>
      </w:r>
      <w:proofErr w:type="spellEnd"/>
      <w:r w:rsidR="00331F2D" w:rsidRPr="00331F2D">
        <w:rPr>
          <w:i/>
        </w:rPr>
        <w:t xml:space="preserve"> 2 ABGB </w:t>
      </w:r>
      <w:proofErr w:type="spellStart"/>
      <w:r w:rsidR="00331F2D" w:rsidRPr="00331F2D">
        <w:rPr>
          <w:i/>
        </w:rPr>
        <w:t>geforderte</w:t>
      </w:r>
      <w:proofErr w:type="spellEnd"/>
      <w:r w:rsidR="00331F2D" w:rsidRPr="00331F2D">
        <w:rPr>
          <w:i/>
        </w:rPr>
        <w:t xml:space="preserve"> </w:t>
      </w:r>
      <w:proofErr w:type="spellStart"/>
      <w:r w:rsidR="00331F2D" w:rsidRPr="00331F2D">
        <w:rPr>
          <w:i/>
        </w:rPr>
        <w:t>Angehörigenverhältnis</w:t>
      </w:r>
      <w:proofErr w:type="spellEnd"/>
      <w:r w:rsidR="00331F2D" w:rsidRPr="00331F2D">
        <w:rPr>
          <w:i/>
        </w:rPr>
        <w:t xml:space="preserve"> </w:t>
      </w:r>
      <w:proofErr w:type="spellStart"/>
      <w:r w:rsidR="00331F2D" w:rsidRPr="00331F2D">
        <w:rPr>
          <w:i/>
        </w:rPr>
        <w:t>wurde</w:t>
      </w:r>
      <w:proofErr w:type="spellEnd"/>
      <w:r w:rsidR="00331F2D" w:rsidRPr="00331F2D">
        <w:rPr>
          <w:i/>
        </w:rPr>
        <w:t xml:space="preserve"> durch </w:t>
      </w:r>
      <w:proofErr w:type="spellStart"/>
      <w:r w:rsidR="00331F2D" w:rsidRPr="00331F2D">
        <w:rPr>
          <w:i/>
        </w:rPr>
        <w:t>Vorlag</w:t>
      </w:r>
      <w:proofErr w:type="spellEnd"/>
      <w:r w:rsidR="00331F2D" w:rsidRPr="00331F2D">
        <w:rPr>
          <w:i/>
        </w:rPr>
        <w:t xml:space="preserve"> </w:t>
      </w:r>
      <w:proofErr w:type="spellStart"/>
      <w:r w:rsidR="00331F2D" w:rsidRPr="00331F2D">
        <w:rPr>
          <w:i/>
        </w:rPr>
        <w:t>Geburtsurkunde</w:t>
      </w:r>
      <w:proofErr w:type="spellEnd"/>
      <w:r w:rsidR="00331F2D" w:rsidRPr="00331F2D">
        <w:rPr>
          <w:i/>
        </w:rPr>
        <w:t xml:space="preserve"> </w:t>
      </w:r>
      <w:proofErr w:type="spellStart"/>
      <w:r w:rsidR="00331F2D" w:rsidRPr="00331F2D">
        <w:rPr>
          <w:i/>
        </w:rPr>
        <w:t>nachgewiesen</w:t>
      </w:r>
      <w:proofErr w:type="spellEnd"/>
      <w:r w:rsidR="00331F2D" w:rsidRPr="00331F2D">
        <w:t>.“</w:t>
      </w:r>
    </w:p>
  </w:footnote>
  <w:footnote w:id="7">
    <w:p w14:paraId="1DEA27EC" w14:textId="6CD86A46" w:rsidR="005D68B6" w:rsidRDefault="005D68B6" w:rsidP="009A3254">
      <w:pPr>
        <w:pStyle w:val="Textpoznpodarou"/>
      </w:pPr>
      <w:r>
        <w:rPr>
          <w:rStyle w:val="Znakapoznpodarou"/>
        </w:rPr>
        <w:footnoteRef/>
      </w:r>
      <w:r>
        <w:t xml:space="preserve"> </w:t>
      </w:r>
      <w:r>
        <w:tab/>
        <w:t xml:space="preserve">Srov. THIELE, C. </w:t>
      </w:r>
      <w:proofErr w:type="spellStart"/>
      <w:r w:rsidRPr="005D68B6">
        <w:rPr>
          <w:i/>
        </w:rPr>
        <w:t>Familiäres</w:t>
      </w:r>
      <w:proofErr w:type="spellEnd"/>
      <w:r w:rsidRPr="005D68B6">
        <w:rPr>
          <w:i/>
        </w:rPr>
        <w:t xml:space="preserve"> </w:t>
      </w:r>
      <w:proofErr w:type="spellStart"/>
      <w:r w:rsidRPr="005D68B6">
        <w:rPr>
          <w:i/>
        </w:rPr>
        <w:t>Veräußerungs</w:t>
      </w:r>
      <w:proofErr w:type="spellEnd"/>
      <w:r w:rsidRPr="005D68B6">
        <w:rPr>
          <w:i/>
        </w:rPr>
        <w:t xml:space="preserve">- </w:t>
      </w:r>
      <w:proofErr w:type="spellStart"/>
      <w:r w:rsidRPr="005D68B6">
        <w:rPr>
          <w:i/>
        </w:rPr>
        <w:t>und</w:t>
      </w:r>
      <w:proofErr w:type="spellEnd"/>
      <w:r w:rsidRPr="005D68B6">
        <w:rPr>
          <w:i/>
        </w:rPr>
        <w:t xml:space="preserve"> </w:t>
      </w:r>
      <w:proofErr w:type="spellStart"/>
      <w:r w:rsidRPr="005D68B6">
        <w:rPr>
          <w:i/>
        </w:rPr>
        <w:t>Belastungsverbot</w:t>
      </w:r>
      <w:proofErr w:type="spellEnd"/>
      <w:r w:rsidRPr="005D68B6">
        <w:rPr>
          <w:i/>
        </w:rPr>
        <w:t xml:space="preserve"> </w:t>
      </w:r>
      <w:proofErr w:type="spellStart"/>
      <w:r w:rsidRPr="005D68B6">
        <w:rPr>
          <w:i/>
        </w:rPr>
        <w:t>bei</w:t>
      </w:r>
      <w:proofErr w:type="spellEnd"/>
      <w:r w:rsidRPr="005D68B6">
        <w:rPr>
          <w:i/>
        </w:rPr>
        <w:t xml:space="preserve"> </w:t>
      </w:r>
      <w:proofErr w:type="spellStart"/>
      <w:r w:rsidRPr="005D68B6">
        <w:rPr>
          <w:i/>
        </w:rPr>
        <w:t>echtem</w:t>
      </w:r>
      <w:proofErr w:type="spellEnd"/>
      <w:r w:rsidRPr="005D68B6">
        <w:rPr>
          <w:i/>
        </w:rPr>
        <w:t xml:space="preserve"> </w:t>
      </w:r>
      <w:proofErr w:type="spellStart"/>
      <w:r w:rsidRPr="005D68B6">
        <w:rPr>
          <w:i/>
        </w:rPr>
        <w:t>Vertrag</w:t>
      </w:r>
      <w:proofErr w:type="spellEnd"/>
      <w:r w:rsidRPr="005D68B6">
        <w:rPr>
          <w:i/>
        </w:rPr>
        <w:t xml:space="preserve"> </w:t>
      </w:r>
      <w:proofErr w:type="spellStart"/>
      <w:r w:rsidRPr="005D68B6">
        <w:rPr>
          <w:i/>
        </w:rPr>
        <w:t>zugunsten</w:t>
      </w:r>
      <w:proofErr w:type="spellEnd"/>
      <w:r w:rsidRPr="005D68B6">
        <w:rPr>
          <w:i/>
        </w:rPr>
        <w:t xml:space="preserve"> </w:t>
      </w:r>
      <w:proofErr w:type="spellStart"/>
      <w:r w:rsidRPr="005D68B6">
        <w:rPr>
          <w:i/>
        </w:rPr>
        <w:t>Dritter</w:t>
      </w:r>
      <w:proofErr w:type="spellEnd"/>
      <w:r w:rsidRPr="005D68B6">
        <w:rPr>
          <w:i/>
        </w:rPr>
        <w:t xml:space="preserve"> </w:t>
      </w:r>
      <w:proofErr w:type="spellStart"/>
      <w:r w:rsidRPr="005D68B6">
        <w:rPr>
          <w:i/>
        </w:rPr>
        <w:t>verbücherungstauglich</w:t>
      </w:r>
      <w:proofErr w:type="spellEnd"/>
      <w:r>
        <w:t xml:space="preserve">. </w:t>
      </w:r>
      <w:proofErr w:type="spellStart"/>
      <w:r w:rsidR="00AC6677">
        <w:t>Zeitschrift</w:t>
      </w:r>
      <w:proofErr w:type="spellEnd"/>
      <w:r w:rsidR="00AC6677">
        <w:t xml:space="preserve"> </w:t>
      </w:r>
      <w:proofErr w:type="spellStart"/>
      <w:r w:rsidR="00AC6677">
        <w:t>für</w:t>
      </w:r>
      <w:proofErr w:type="spellEnd"/>
      <w:r w:rsidR="00AC6677">
        <w:t xml:space="preserve"> </w:t>
      </w:r>
      <w:proofErr w:type="spellStart"/>
      <w:r w:rsidR="00AC6677">
        <w:t>Familien-und</w:t>
      </w:r>
      <w:proofErr w:type="spellEnd"/>
      <w:r w:rsidR="00AC6677">
        <w:t xml:space="preserve"> </w:t>
      </w:r>
      <w:proofErr w:type="spellStart"/>
      <w:r w:rsidR="00AC6677">
        <w:t>Erbrecht</w:t>
      </w:r>
      <w:proofErr w:type="spellEnd"/>
      <w:r w:rsidR="00AC6677">
        <w:t xml:space="preserve">. Sešit 6/2014, s. 304 a násl. </w:t>
      </w:r>
      <w:r w:rsidR="00330BF4">
        <w:t xml:space="preserve">Výňatek dostupný na: </w:t>
      </w:r>
      <w:hyperlink r:id="rId1" w:history="1">
        <w:r w:rsidR="00330BF4" w:rsidRPr="00251421">
          <w:rPr>
            <w:rStyle w:val="Hypertextovodkaz"/>
          </w:rPr>
          <w:t>http://www.eurolawyer.at/pdf/EF-Z-2016-304-306-Thiele.pdf</w:t>
        </w:r>
      </w:hyperlink>
      <w:r w:rsidR="00330BF4">
        <w:t xml:space="preserve"> [</w:t>
      </w:r>
      <w:r w:rsidR="00273278">
        <w:t xml:space="preserve">cit. </w:t>
      </w:r>
      <w:r w:rsidR="00330BF4">
        <w:t>3.7.2019</w:t>
      </w:r>
      <w:r w:rsidR="001F502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999"/>
    <w:multiLevelType w:val="hybridMultilevel"/>
    <w:tmpl w:val="B7163646"/>
    <w:lvl w:ilvl="0" w:tplc="5EF2BE5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806DDA"/>
    <w:multiLevelType w:val="hybridMultilevel"/>
    <w:tmpl w:val="4634B5A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0C0AA2"/>
    <w:multiLevelType w:val="hybridMultilevel"/>
    <w:tmpl w:val="AC8046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85657"/>
    <w:multiLevelType w:val="hybridMultilevel"/>
    <w:tmpl w:val="3EACD952"/>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4EDD"/>
    <w:multiLevelType w:val="hybridMultilevel"/>
    <w:tmpl w:val="91421AF4"/>
    <w:lvl w:ilvl="0" w:tplc="91CA5A52">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190932"/>
    <w:multiLevelType w:val="hybridMultilevel"/>
    <w:tmpl w:val="D1902BE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4BA577E"/>
    <w:multiLevelType w:val="hybridMultilevel"/>
    <w:tmpl w:val="6B843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A25272"/>
    <w:multiLevelType w:val="hybridMultilevel"/>
    <w:tmpl w:val="94982C2E"/>
    <w:lvl w:ilvl="0" w:tplc="BF1E8E1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03DCA"/>
    <w:multiLevelType w:val="hybridMultilevel"/>
    <w:tmpl w:val="76C250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643F4"/>
    <w:multiLevelType w:val="hybridMultilevel"/>
    <w:tmpl w:val="60DE8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021405"/>
    <w:multiLevelType w:val="hybridMultilevel"/>
    <w:tmpl w:val="C6CAD698"/>
    <w:lvl w:ilvl="0" w:tplc="5336A94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FBB4393"/>
    <w:multiLevelType w:val="hybridMultilevel"/>
    <w:tmpl w:val="61D2526A"/>
    <w:lvl w:ilvl="0" w:tplc="5C549DE2">
      <w:start w:val="1"/>
      <w:numFmt w:val="upperRoman"/>
      <w:pStyle w:val="Nadpis1"/>
      <w:suff w:val="nothing"/>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6B7C7F"/>
    <w:multiLevelType w:val="hybridMultilevel"/>
    <w:tmpl w:val="CDD03F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7F8518F"/>
    <w:multiLevelType w:val="hybridMultilevel"/>
    <w:tmpl w:val="23446B1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3CCA605B"/>
    <w:multiLevelType w:val="hybridMultilevel"/>
    <w:tmpl w:val="8594DDB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C66B50"/>
    <w:multiLevelType w:val="hybridMultilevel"/>
    <w:tmpl w:val="4344EB8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1383A63"/>
    <w:multiLevelType w:val="hybridMultilevel"/>
    <w:tmpl w:val="9D7401E2"/>
    <w:lvl w:ilvl="0" w:tplc="732275E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7E5260"/>
    <w:multiLevelType w:val="hybridMultilevel"/>
    <w:tmpl w:val="D53047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1936647"/>
    <w:multiLevelType w:val="hybridMultilevel"/>
    <w:tmpl w:val="9774CA96"/>
    <w:lvl w:ilvl="0" w:tplc="887EBDC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04AA9"/>
    <w:multiLevelType w:val="hybridMultilevel"/>
    <w:tmpl w:val="B1A6B6A4"/>
    <w:lvl w:ilvl="0" w:tplc="4B14CA7E">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B303BA"/>
    <w:multiLevelType w:val="hybridMultilevel"/>
    <w:tmpl w:val="3114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665F10"/>
    <w:multiLevelType w:val="hybridMultilevel"/>
    <w:tmpl w:val="25B84E5E"/>
    <w:lvl w:ilvl="0" w:tplc="EA101A3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F54AF"/>
    <w:multiLevelType w:val="hybridMultilevel"/>
    <w:tmpl w:val="981880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60256F"/>
    <w:multiLevelType w:val="hybridMultilevel"/>
    <w:tmpl w:val="8FCC0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930EE"/>
    <w:multiLevelType w:val="hybridMultilevel"/>
    <w:tmpl w:val="CF0EE6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DED4B69"/>
    <w:multiLevelType w:val="hybridMultilevel"/>
    <w:tmpl w:val="9904A2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0C6551"/>
    <w:multiLevelType w:val="hybridMultilevel"/>
    <w:tmpl w:val="5B207132"/>
    <w:lvl w:ilvl="0" w:tplc="121E8582">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11E4466"/>
    <w:multiLevelType w:val="hybridMultilevel"/>
    <w:tmpl w:val="EC089E08"/>
    <w:lvl w:ilvl="0" w:tplc="425ACE1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1F85974"/>
    <w:multiLevelType w:val="hybridMultilevel"/>
    <w:tmpl w:val="981880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811A7"/>
    <w:multiLevelType w:val="hybridMultilevel"/>
    <w:tmpl w:val="59FEF5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2D2C47"/>
    <w:multiLevelType w:val="hybridMultilevel"/>
    <w:tmpl w:val="B9FC7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6F7680"/>
    <w:multiLevelType w:val="hybridMultilevel"/>
    <w:tmpl w:val="00DC4DD6"/>
    <w:lvl w:ilvl="0" w:tplc="E4C88E48">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3E92F12"/>
    <w:multiLevelType w:val="hybridMultilevel"/>
    <w:tmpl w:val="0472DF32"/>
    <w:lvl w:ilvl="0" w:tplc="E15AD4D8">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5F5337C"/>
    <w:multiLevelType w:val="hybridMultilevel"/>
    <w:tmpl w:val="A16E849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701DD3"/>
    <w:multiLevelType w:val="hybridMultilevel"/>
    <w:tmpl w:val="A8404A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2375A5"/>
    <w:multiLevelType w:val="hybridMultilevel"/>
    <w:tmpl w:val="424CF3A4"/>
    <w:lvl w:ilvl="0" w:tplc="5DE6B84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6A993B1D"/>
    <w:multiLevelType w:val="hybridMultilevel"/>
    <w:tmpl w:val="0F963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D51842"/>
    <w:multiLevelType w:val="hybridMultilevel"/>
    <w:tmpl w:val="C2548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D20A4A"/>
    <w:multiLevelType w:val="hybridMultilevel"/>
    <w:tmpl w:val="8B6C5320"/>
    <w:lvl w:ilvl="0" w:tplc="5E38E4BE">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B5F40AC"/>
    <w:multiLevelType w:val="hybridMultilevel"/>
    <w:tmpl w:val="5D947C3E"/>
    <w:lvl w:ilvl="0" w:tplc="452E6B2A">
      <w:start w:val="1"/>
      <w:numFmt w:val="decimal"/>
      <w:pStyle w:val="Bezmezer"/>
      <w:lvlText w:val="%1"/>
      <w:lvlJc w:val="left"/>
      <w:pPr>
        <w:ind w:left="720" w:hanging="360"/>
      </w:pPr>
      <w:rPr>
        <w:rFonts w:hint="default"/>
        <w:b w:val="0"/>
        <w:i w:val="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74674C"/>
    <w:multiLevelType w:val="hybridMultilevel"/>
    <w:tmpl w:val="4FB8D47E"/>
    <w:lvl w:ilvl="0" w:tplc="1C3437B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C436B5"/>
    <w:multiLevelType w:val="hybridMultilevel"/>
    <w:tmpl w:val="175C6A24"/>
    <w:lvl w:ilvl="0" w:tplc="945279FC">
      <w:start w:val="1"/>
      <w:numFmt w:val="lowerRoman"/>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7F506D4B"/>
    <w:multiLevelType w:val="hybridMultilevel"/>
    <w:tmpl w:val="54C232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5"/>
  </w:num>
  <w:num w:numId="3">
    <w:abstractNumId w:val="15"/>
  </w:num>
  <w:num w:numId="4">
    <w:abstractNumId w:val="17"/>
  </w:num>
  <w:num w:numId="5">
    <w:abstractNumId w:val="1"/>
  </w:num>
  <w:num w:numId="6">
    <w:abstractNumId w:val="16"/>
  </w:num>
  <w:num w:numId="7">
    <w:abstractNumId w:val="26"/>
  </w:num>
  <w:num w:numId="8">
    <w:abstractNumId w:val="41"/>
  </w:num>
  <w:num w:numId="9">
    <w:abstractNumId w:val="23"/>
  </w:num>
  <w:num w:numId="10">
    <w:abstractNumId w:val="9"/>
  </w:num>
  <w:num w:numId="11">
    <w:abstractNumId w:val="20"/>
  </w:num>
  <w:num w:numId="12">
    <w:abstractNumId w:val="42"/>
  </w:num>
  <w:num w:numId="13">
    <w:abstractNumId w:val="21"/>
  </w:num>
  <w:num w:numId="14">
    <w:abstractNumId w:val="4"/>
  </w:num>
  <w:num w:numId="15">
    <w:abstractNumId w:val="29"/>
  </w:num>
  <w:num w:numId="16">
    <w:abstractNumId w:val="22"/>
  </w:num>
  <w:num w:numId="17">
    <w:abstractNumId w:val="18"/>
  </w:num>
  <w:num w:numId="18">
    <w:abstractNumId w:val="25"/>
  </w:num>
  <w:num w:numId="19">
    <w:abstractNumId w:val="28"/>
  </w:num>
  <w:num w:numId="20">
    <w:abstractNumId w:val="14"/>
  </w:num>
  <w:num w:numId="21">
    <w:abstractNumId w:val="13"/>
  </w:num>
  <w:num w:numId="22">
    <w:abstractNumId w:val="12"/>
  </w:num>
  <w:num w:numId="23">
    <w:abstractNumId w:val="8"/>
  </w:num>
  <w:num w:numId="24">
    <w:abstractNumId w:val="40"/>
  </w:num>
  <w:num w:numId="25">
    <w:abstractNumId w:val="11"/>
  </w:num>
  <w:num w:numId="26">
    <w:abstractNumId w:val="39"/>
  </w:num>
  <w:num w:numId="27">
    <w:abstractNumId w:val="27"/>
  </w:num>
  <w:num w:numId="28">
    <w:abstractNumId w:val="37"/>
  </w:num>
  <w:num w:numId="29">
    <w:abstractNumId w:val="36"/>
  </w:num>
  <w:num w:numId="30">
    <w:abstractNumId w:val="33"/>
  </w:num>
  <w:num w:numId="31">
    <w:abstractNumId w:val="3"/>
  </w:num>
  <w:num w:numId="32">
    <w:abstractNumId w:val="39"/>
    <w:lvlOverride w:ilvl="0">
      <w:startOverride w:val="1"/>
    </w:lvlOverride>
  </w:num>
  <w:num w:numId="33">
    <w:abstractNumId w:val="39"/>
    <w:lvlOverride w:ilvl="0">
      <w:startOverride w:val="1"/>
    </w:lvlOverride>
  </w:num>
  <w:num w:numId="34">
    <w:abstractNumId w:val="39"/>
    <w:lvlOverride w:ilvl="0">
      <w:startOverride w:val="1"/>
    </w:lvlOverride>
  </w:num>
  <w:num w:numId="35">
    <w:abstractNumId w:val="24"/>
  </w:num>
  <w:num w:numId="36">
    <w:abstractNumId w:val="34"/>
  </w:num>
  <w:num w:numId="37">
    <w:abstractNumId w:val="31"/>
  </w:num>
  <w:num w:numId="38">
    <w:abstractNumId w:val="38"/>
  </w:num>
  <w:num w:numId="39">
    <w:abstractNumId w:val="35"/>
  </w:num>
  <w:num w:numId="40">
    <w:abstractNumId w:val="32"/>
  </w:num>
  <w:num w:numId="41">
    <w:abstractNumId w:val="30"/>
  </w:num>
  <w:num w:numId="42">
    <w:abstractNumId w:val="2"/>
  </w:num>
  <w:num w:numId="43">
    <w:abstractNumId w:val="6"/>
  </w:num>
  <w:num w:numId="44">
    <w:abstractNumId w:val="10"/>
  </w:num>
  <w:num w:numId="45">
    <w:abstractNumId w:val="0"/>
  </w:num>
  <w:num w:numId="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9E"/>
    <w:rsid w:val="000003FC"/>
    <w:rsid w:val="0000060B"/>
    <w:rsid w:val="00002B65"/>
    <w:rsid w:val="00003CD7"/>
    <w:rsid w:val="00007583"/>
    <w:rsid w:val="00007C8D"/>
    <w:rsid w:val="00010278"/>
    <w:rsid w:val="000105AB"/>
    <w:rsid w:val="00010828"/>
    <w:rsid w:val="00010C70"/>
    <w:rsid w:val="000122AF"/>
    <w:rsid w:val="00014A1F"/>
    <w:rsid w:val="00015DA0"/>
    <w:rsid w:val="00016021"/>
    <w:rsid w:val="000172B6"/>
    <w:rsid w:val="00017758"/>
    <w:rsid w:val="00017A81"/>
    <w:rsid w:val="00020804"/>
    <w:rsid w:val="0002138E"/>
    <w:rsid w:val="00022026"/>
    <w:rsid w:val="00022DC1"/>
    <w:rsid w:val="00023FDE"/>
    <w:rsid w:val="00024E43"/>
    <w:rsid w:val="000252E3"/>
    <w:rsid w:val="000267B4"/>
    <w:rsid w:val="000269B1"/>
    <w:rsid w:val="00026F93"/>
    <w:rsid w:val="00027330"/>
    <w:rsid w:val="000313C9"/>
    <w:rsid w:val="000314A6"/>
    <w:rsid w:val="00032B0C"/>
    <w:rsid w:val="00036B78"/>
    <w:rsid w:val="000370BB"/>
    <w:rsid w:val="00042116"/>
    <w:rsid w:val="000436F4"/>
    <w:rsid w:val="000446B2"/>
    <w:rsid w:val="00044EF0"/>
    <w:rsid w:val="00044F0A"/>
    <w:rsid w:val="000461C4"/>
    <w:rsid w:val="000467EE"/>
    <w:rsid w:val="00050850"/>
    <w:rsid w:val="00051D39"/>
    <w:rsid w:val="00052C72"/>
    <w:rsid w:val="0005529F"/>
    <w:rsid w:val="00055C14"/>
    <w:rsid w:val="00057B15"/>
    <w:rsid w:val="000629E4"/>
    <w:rsid w:val="00062BC3"/>
    <w:rsid w:val="00062E1E"/>
    <w:rsid w:val="000641C9"/>
    <w:rsid w:val="00064D13"/>
    <w:rsid w:val="00064DCA"/>
    <w:rsid w:val="00065394"/>
    <w:rsid w:val="00065B20"/>
    <w:rsid w:val="00065BA6"/>
    <w:rsid w:val="00066D28"/>
    <w:rsid w:val="00072A9D"/>
    <w:rsid w:val="00073380"/>
    <w:rsid w:val="00073A1F"/>
    <w:rsid w:val="00074704"/>
    <w:rsid w:val="0007478D"/>
    <w:rsid w:val="00075B32"/>
    <w:rsid w:val="0007646E"/>
    <w:rsid w:val="00077A55"/>
    <w:rsid w:val="00080E35"/>
    <w:rsid w:val="000817DF"/>
    <w:rsid w:val="00082D01"/>
    <w:rsid w:val="00082E1D"/>
    <w:rsid w:val="000839AF"/>
    <w:rsid w:val="0008432F"/>
    <w:rsid w:val="00084D90"/>
    <w:rsid w:val="00090942"/>
    <w:rsid w:val="0009104E"/>
    <w:rsid w:val="000910F0"/>
    <w:rsid w:val="00091362"/>
    <w:rsid w:val="0009553D"/>
    <w:rsid w:val="00096F7C"/>
    <w:rsid w:val="000A172D"/>
    <w:rsid w:val="000A2275"/>
    <w:rsid w:val="000A22BE"/>
    <w:rsid w:val="000A4DE3"/>
    <w:rsid w:val="000A5A9F"/>
    <w:rsid w:val="000A6E96"/>
    <w:rsid w:val="000B047B"/>
    <w:rsid w:val="000B1977"/>
    <w:rsid w:val="000B25FE"/>
    <w:rsid w:val="000B2BD7"/>
    <w:rsid w:val="000B2DC3"/>
    <w:rsid w:val="000B53B3"/>
    <w:rsid w:val="000B6F0C"/>
    <w:rsid w:val="000C31C4"/>
    <w:rsid w:val="000C3888"/>
    <w:rsid w:val="000C5CA5"/>
    <w:rsid w:val="000C6504"/>
    <w:rsid w:val="000C76A2"/>
    <w:rsid w:val="000D0109"/>
    <w:rsid w:val="000D201D"/>
    <w:rsid w:val="000D22F4"/>
    <w:rsid w:val="000D3050"/>
    <w:rsid w:val="000D3E9D"/>
    <w:rsid w:val="000E1E64"/>
    <w:rsid w:val="000E226E"/>
    <w:rsid w:val="000E2805"/>
    <w:rsid w:val="000E4844"/>
    <w:rsid w:val="000E5100"/>
    <w:rsid w:val="000E5AEC"/>
    <w:rsid w:val="000E64BC"/>
    <w:rsid w:val="000E7DC6"/>
    <w:rsid w:val="000F0184"/>
    <w:rsid w:val="000F0DC4"/>
    <w:rsid w:val="000F2E8B"/>
    <w:rsid w:val="000F3E29"/>
    <w:rsid w:val="000F4B4C"/>
    <w:rsid w:val="000F64A3"/>
    <w:rsid w:val="000F71F5"/>
    <w:rsid w:val="000F7351"/>
    <w:rsid w:val="00102F88"/>
    <w:rsid w:val="00103CF5"/>
    <w:rsid w:val="001060F1"/>
    <w:rsid w:val="00106EAA"/>
    <w:rsid w:val="00107EB0"/>
    <w:rsid w:val="001103EB"/>
    <w:rsid w:val="001106FC"/>
    <w:rsid w:val="00111979"/>
    <w:rsid w:val="00111CA3"/>
    <w:rsid w:val="00111EF9"/>
    <w:rsid w:val="00113F3B"/>
    <w:rsid w:val="001168BF"/>
    <w:rsid w:val="00117319"/>
    <w:rsid w:val="00121527"/>
    <w:rsid w:val="00122373"/>
    <w:rsid w:val="00123C9B"/>
    <w:rsid w:val="001242B4"/>
    <w:rsid w:val="0012533A"/>
    <w:rsid w:val="001255D2"/>
    <w:rsid w:val="001258CB"/>
    <w:rsid w:val="00130468"/>
    <w:rsid w:val="00130AB9"/>
    <w:rsid w:val="0013162D"/>
    <w:rsid w:val="001316E9"/>
    <w:rsid w:val="00131CAA"/>
    <w:rsid w:val="0013287C"/>
    <w:rsid w:val="001337E0"/>
    <w:rsid w:val="00134BB5"/>
    <w:rsid w:val="00134E1A"/>
    <w:rsid w:val="00135E59"/>
    <w:rsid w:val="00135F22"/>
    <w:rsid w:val="00136B09"/>
    <w:rsid w:val="00140278"/>
    <w:rsid w:val="00141F6A"/>
    <w:rsid w:val="00142A12"/>
    <w:rsid w:val="001430B1"/>
    <w:rsid w:val="00143379"/>
    <w:rsid w:val="00145A5D"/>
    <w:rsid w:val="00147243"/>
    <w:rsid w:val="00147D07"/>
    <w:rsid w:val="00151A44"/>
    <w:rsid w:val="00152A8C"/>
    <w:rsid w:val="001532DC"/>
    <w:rsid w:val="00154304"/>
    <w:rsid w:val="001560B3"/>
    <w:rsid w:val="0015617A"/>
    <w:rsid w:val="00160A5E"/>
    <w:rsid w:val="0016262D"/>
    <w:rsid w:val="00162B9A"/>
    <w:rsid w:val="001645B9"/>
    <w:rsid w:val="00164CBB"/>
    <w:rsid w:val="001661A6"/>
    <w:rsid w:val="001710C6"/>
    <w:rsid w:val="00175766"/>
    <w:rsid w:val="00177033"/>
    <w:rsid w:val="0018142A"/>
    <w:rsid w:val="00181F3C"/>
    <w:rsid w:val="001831B1"/>
    <w:rsid w:val="00186BCF"/>
    <w:rsid w:val="00186D4F"/>
    <w:rsid w:val="001938C9"/>
    <w:rsid w:val="00193BD4"/>
    <w:rsid w:val="00195DFF"/>
    <w:rsid w:val="00196891"/>
    <w:rsid w:val="0019779E"/>
    <w:rsid w:val="001A02D6"/>
    <w:rsid w:val="001A06E3"/>
    <w:rsid w:val="001A533E"/>
    <w:rsid w:val="001A74DF"/>
    <w:rsid w:val="001A7B22"/>
    <w:rsid w:val="001A7C77"/>
    <w:rsid w:val="001B0A33"/>
    <w:rsid w:val="001B2FBF"/>
    <w:rsid w:val="001B75B1"/>
    <w:rsid w:val="001C09C7"/>
    <w:rsid w:val="001C167F"/>
    <w:rsid w:val="001C3820"/>
    <w:rsid w:val="001C6177"/>
    <w:rsid w:val="001C66C1"/>
    <w:rsid w:val="001D40A6"/>
    <w:rsid w:val="001D4476"/>
    <w:rsid w:val="001D44D5"/>
    <w:rsid w:val="001D4D32"/>
    <w:rsid w:val="001D5DFC"/>
    <w:rsid w:val="001D5E8E"/>
    <w:rsid w:val="001D784F"/>
    <w:rsid w:val="001D7C36"/>
    <w:rsid w:val="001E03D6"/>
    <w:rsid w:val="001E503F"/>
    <w:rsid w:val="001E5359"/>
    <w:rsid w:val="001E57D1"/>
    <w:rsid w:val="001E76B9"/>
    <w:rsid w:val="001E7823"/>
    <w:rsid w:val="001E7E86"/>
    <w:rsid w:val="001F08B7"/>
    <w:rsid w:val="001F0B07"/>
    <w:rsid w:val="001F5028"/>
    <w:rsid w:val="001F67A4"/>
    <w:rsid w:val="001F7DC1"/>
    <w:rsid w:val="001F7F28"/>
    <w:rsid w:val="001F7F2E"/>
    <w:rsid w:val="002009F4"/>
    <w:rsid w:val="00203508"/>
    <w:rsid w:val="002037E0"/>
    <w:rsid w:val="00205195"/>
    <w:rsid w:val="002061F7"/>
    <w:rsid w:val="0021025A"/>
    <w:rsid w:val="00210C04"/>
    <w:rsid w:val="00213478"/>
    <w:rsid w:val="00215ABC"/>
    <w:rsid w:val="00216C8A"/>
    <w:rsid w:val="00216D0D"/>
    <w:rsid w:val="00216E9F"/>
    <w:rsid w:val="002202DB"/>
    <w:rsid w:val="00220E53"/>
    <w:rsid w:val="00221414"/>
    <w:rsid w:val="002214E2"/>
    <w:rsid w:val="00221DCB"/>
    <w:rsid w:val="002223E2"/>
    <w:rsid w:val="002233B3"/>
    <w:rsid w:val="0022648E"/>
    <w:rsid w:val="002279BE"/>
    <w:rsid w:val="0023312B"/>
    <w:rsid w:val="00233634"/>
    <w:rsid w:val="00235AA1"/>
    <w:rsid w:val="00237967"/>
    <w:rsid w:val="00237BC6"/>
    <w:rsid w:val="00240B37"/>
    <w:rsid w:val="00241000"/>
    <w:rsid w:val="002439D0"/>
    <w:rsid w:val="00244F9B"/>
    <w:rsid w:val="00247DE1"/>
    <w:rsid w:val="00250673"/>
    <w:rsid w:val="00251170"/>
    <w:rsid w:val="002515DF"/>
    <w:rsid w:val="00255729"/>
    <w:rsid w:val="002564D6"/>
    <w:rsid w:val="00256E81"/>
    <w:rsid w:val="00261704"/>
    <w:rsid w:val="00262AB7"/>
    <w:rsid w:val="00263AEE"/>
    <w:rsid w:val="00263D5C"/>
    <w:rsid w:val="00263EF8"/>
    <w:rsid w:val="0027283E"/>
    <w:rsid w:val="00273278"/>
    <w:rsid w:val="00274350"/>
    <w:rsid w:val="002746FE"/>
    <w:rsid w:val="00275BB1"/>
    <w:rsid w:val="002777B0"/>
    <w:rsid w:val="00284BB2"/>
    <w:rsid w:val="00287BD5"/>
    <w:rsid w:val="00290621"/>
    <w:rsid w:val="00291118"/>
    <w:rsid w:val="00292B00"/>
    <w:rsid w:val="002974D2"/>
    <w:rsid w:val="00297AE6"/>
    <w:rsid w:val="00297E17"/>
    <w:rsid w:val="002A01F6"/>
    <w:rsid w:val="002A1D64"/>
    <w:rsid w:val="002A3EDA"/>
    <w:rsid w:val="002B1E56"/>
    <w:rsid w:val="002B2624"/>
    <w:rsid w:val="002B5DB1"/>
    <w:rsid w:val="002B7E9B"/>
    <w:rsid w:val="002C10CE"/>
    <w:rsid w:val="002C2440"/>
    <w:rsid w:val="002C27BD"/>
    <w:rsid w:val="002C3323"/>
    <w:rsid w:val="002C535C"/>
    <w:rsid w:val="002C6370"/>
    <w:rsid w:val="002D2A83"/>
    <w:rsid w:val="002D2CD7"/>
    <w:rsid w:val="002D4448"/>
    <w:rsid w:val="002D4ACF"/>
    <w:rsid w:val="002D5915"/>
    <w:rsid w:val="002D5EAE"/>
    <w:rsid w:val="002D6504"/>
    <w:rsid w:val="002D77CE"/>
    <w:rsid w:val="002D7E7E"/>
    <w:rsid w:val="002E095C"/>
    <w:rsid w:val="002E0C14"/>
    <w:rsid w:val="002E11F0"/>
    <w:rsid w:val="002E3656"/>
    <w:rsid w:val="002E4FE5"/>
    <w:rsid w:val="002E550A"/>
    <w:rsid w:val="002E5FD9"/>
    <w:rsid w:val="002E690A"/>
    <w:rsid w:val="002E6C9D"/>
    <w:rsid w:val="002F17E1"/>
    <w:rsid w:val="002F2706"/>
    <w:rsid w:val="002F6097"/>
    <w:rsid w:val="002F6645"/>
    <w:rsid w:val="002F67AC"/>
    <w:rsid w:val="002F7639"/>
    <w:rsid w:val="002F7BCB"/>
    <w:rsid w:val="003009A3"/>
    <w:rsid w:val="003017D8"/>
    <w:rsid w:val="00301E74"/>
    <w:rsid w:val="00302399"/>
    <w:rsid w:val="0030259A"/>
    <w:rsid w:val="00303707"/>
    <w:rsid w:val="003070D5"/>
    <w:rsid w:val="003103A8"/>
    <w:rsid w:val="00312D6D"/>
    <w:rsid w:val="003157CA"/>
    <w:rsid w:val="00322151"/>
    <w:rsid w:val="00322656"/>
    <w:rsid w:val="003233B2"/>
    <w:rsid w:val="00323B64"/>
    <w:rsid w:val="00324233"/>
    <w:rsid w:val="00324584"/>
    <w:rsid w:val="003247A5"/>
    <w:rsid w:val="003248DA"/>
    <w:rsid w:val="00330BF4"/>
    <w:rsid w:val="003315EE"/>
    <w:rsid w:val="003316AB"/>
    <w:rsid w:val="00331F2D"/>
    <w:rsid w:val="00331F66"/>
    <w:rsid w:val="0033328D"/>
    <w:rsid w:val="00333AE5"/>
    <w:rsid w:val="00334FA2"/>
    <w:rsid w:val="003463B1"/>
    <w:rsid w:val="00346534"/>
    <w:rsid w:val="0035012C"/>
    <w:rsid w:val="0035121D"/>
    <w:rsid w:val="0035269B"/>
    <w:rsid w:val="00353AED"/>
    <w:rsid w:val="00353C5A"/>
    <w:rsid w:val="00354E2D"/>
    <w:rsid w:val="0035530E"/>
    <w:rsid w:val="00355F6A"/>
    <w:rsid w:val="0035635A"/>
    <w:rsid w:val="003615D2"/>
    <w:rsid w:val="003627E5"/>
    <w:rsid w:val="00362ADF"/>
    <w:rsid w:val="003662A4"/>
    <w:rsid w:val="00366A83"/>
    <w:rsid w:val="003670FC"/>
    <w:rsid w:val="00367785"/>
    <w:rsid w:val="003728FB"/>
    <w:rsid w:val="00372BB9"/>
    <w:rsid w:val="00374CAD"/>
    <w:rsid w:val="00380DAE"/>
    <w:rsid w:val="00381A85"/>
    <w:rsid w:val="00382E64"/>
    <w:rsid w:val="003830B9"/>
    <w:rsid w:val="00383372"/>
    <w:rsid w:val="00383E7F"/>
    <w:rsid w:val="003854FC"/>
    <w:rsid w:val="00386979"/>
    <w:rsid w:val="00386AB3"/>
    <w:rsid w:val="003916DB"/>
    <w:rsid w:val="00392A57"/>
    <w:rsid w:val="00392B48"/>
    <w:rsid w:val="00393D9A"/>
    <w:rsid w:val="003942DA"/>
    <w:rsid w:val="003955F6"/>
    <w:rsid w:val="0039721E"/>
    <w:rsid w:val="00397557"/>
    <w:rsid w:val="003A0738"/>
    <w:rsid w:val="003A3567"/>
    <w:rsid w:val="003A3FFC"/>
    <w:rsid w:val="003A46C8"/>
    <w:rsid w:val="003A4952"/>
    <w:rsid w:val="003B3905"/>
    <w:rsid w:val="003B3CBF"/>
    <w:rsid w:val="003B6975"/>
    <w:rsid w:val="003C0CE4"/>
    <w:rsid w:val="003C3128"/>
    <w:rsid w:val="003C36A3"/>
    <w:rsid w:val="003C7A55"/>
    <w:rsid w:val="003D02CB"/>
    <w:rsid w:val="003D1741"/>
    <w:rsid w:val="003D2198"/>
    <w:rsid w:val="003D2213"/>
    <w:rsid w:val="003D4A8C"/>
    <w:rsid w:val="003D6AB8"/>
    <w:rsid w:val="003E054B"/>
    <w:rsid w:val="003E0B4C"/>
    <w:rsid w:val="003E2A3F"/>
    <w:rsid w:val="003E524C"/>
    <w:rsid w:val="003E617C"/>
    <w:rsid w:val="003E69EC"/>
    <w:rsid w:val="003E70D9"/>
    <w:rsid w:val="003F02D0"/>
    <w:rsid w:val="003F1B27"/>
    <w:rsid w:val="003F1C49"/>
    <w:rsid w:val="003F340E"/>
    <w:rsid w:val="003F44D9"/>
    <w:rsid w:val="003F4F37"/>
    <w:rsid w:val="003F5AF8"/>
    <w:rsid w:val="003F5E4F"/>
    <w:rsid w:val="003F5E77"/>
    <w:rsid w:val="003F69FA"/>
    <w:rsid w:val="003F7078"/>
    <w:rsid w:val="004007F8"/>
    <w:rsid w:val="004029AF"/>
    <w:rsid w:val="004117ED"/>
    <w:rsid w:val="004131B4"/>
    <w:rsid w:val="004143F8"/>
    <w:rsid w:val="0041506E"/>
    <w:rsid w:val="004153A0"/>
    <w:rsid w:val="00415E16"/>
    <w:rsid w:val="00416779"/>
    <w:rsid w:val="0041737D"/>
    <w:rsid w:val="00417E5F"/>
    <w:rsid w:val="00421E16"/>
    <w:rsid w:val="0042262D"/>
    <w:rsid w:val="00423BD0"/>
    <w:rsid w:val="00425589"/>
    <w:rsid w:val="004266E8"/>
    <w:rsid w:val="00426C1D"/>
    <w:rsid w:val="00427DDC"/>
    <w:rsid w:val="0043164F"/>
    <w:rsid w:val="00431ED4"/>
    <w:rsid w:val="004338B2"/>
    <w:rsid w:val="00433A59"/>
    <w:rsid w:val="00434665"/>
    <w:rsid w:val="004406A9"/>
    <w:rsid w:val="00440E5E"/>
    <w:rsid w:val="0044117C"/>
    <w:rsid w:val="00441D38"/>
    <w:rsid w:val="00443301"/>
    <w:rsid w:val="00444F80"/>
    <w:rsid w:val="00446993"/>
    <w:rsid w:val="00452ACD"/>
    <w:rsid w:val="00456D0C"/>
    <w:rsid w:val="004573D0"/>
    <w:rsid w:val="00461084"/>
    <w:rsid w:val="00461254"/>
    <w:rsid w:val="00465C72"/>
    <w:rsid w:val="00466F7C"/>
    <w:rsid w:val="00467A6B"/>
    <w:rsid w:val="00467D63"/>
    <w:rsid w:val="00470225"/>
    <w:rsid w:val="00470F6B"/>
    <w:rsid w:val="00471C08"/>
    <w:rsid w:val="00472D4B"/>
    <w:rsid w:val="00472F81"/>
    <w:rsid w:val="0047461D"/>
    <w:rsid w:val="00474685"/>
    <w:rsid w:val="00475CB7"/>
    <w:rsid w:val="0047689F"/>
    <w:rsid w:val="00477FE4"/>
    <w:rsid w:val="004819E3"/>
    <w:rsid w:val="00481C57"/>
    <w:rsid w:val="00483C18"/>
    <w:rsid w:val="004863C8"/>
    <w:rsid w:val="0048699C"/>
    <w:rsid w:val="00487340"/>
    <w:rsid w:val="00491371"/>
    <w:rsid w:val="0049257D"/>
    <w:rsid w:val="00494C06"/>
    <w:rsid w:val="004A0228"/>
    <w:rsid w:val="004A2537"/>
    <w:rsid w:val="004A3970"/>
    <w:rsid w:val="004A52F3"/>
    <w:rsid w:val="004A778F"/>
    <w:rsid w:val="004B0D93"/>
    <w:rsid w:val="004B277F"/>
    <w:rsid w:val="004B2FD7"/>
    <w:rsid w:val="004B384B"/>
    <w:rsid w:val="004B42F2"/>
    <w:rsid w:val="004B459F"/>
    <w:rsid w:val="004B4DCD"/>
    <w:rsid w:val="004B517B"/>
    <w:rsid w:val="004B79A4"/>
    <w:rsid w:val="004C02E7"/>
    <w:rsid w:val="004C2162"/>
    <w:rsid w:val="004C44D2"/>
    <w:rsid w:val="004C4B7E"/>
    <w:rsid w:val="004C6298"/>
    <w:rsid w:val="004C6410"/>
    <w:rsid w:val="004C73E8"/>
    <w:rsid w:val="004C7640"/>
    <w:rsid w:val="004C7D5B"/>
    <w:rsid w:val="004D0561"/>
    <w:rsid w:val="004D7B12"/>
    <w:rsid w:val="004E00A4"/>
    <w:rsid w:val="004E5310"/>
    <w:rsid w:val="004F0F50"/>
    <w:rsid w:val="004F166F"/>
    <w:rsid w:val="004F1BCD"/>
    <w:rsid w:val="004F39A6"/>
    <w:rsid w:val="004F3BB5"/>
    <w:rsid w:val="004F46F6"/>
    <w:rsid w:val="004F5668"/>
    <w:rsid w:val="004F572D"/>
    <w:rsid w:val="004F5F8C"/>
    <w:rsid w:val="004F5FC2"/>
    <w:rsid w:val="004F6276"/>
    <w:rsid w:val="0050093D"/>
    <w:rsid w:val="00500CD6"/>
    <w:rsid w:val="00500ECE"/>
    <w:rsid w:val="0050354C"/>
    <w:rsid w:val="0050431A"/>
    <w:rsid w:val="005113C4"/>
    <w:rsid w:val="0051170A"/>
    <w:rsid w:val="005118F8"/>
    <w:rsid w:val="005148D7"/>
    <w:rsid w:val="00515336"/>
    <w:rsid w:val="0051715A"/>
    <w:rsid w:val="00517D02"/>
    <w:rsid w:val="0052088C"/>
    <w:rsid w:val="00521271"/>
    <w:rsid w:val="00522316"/>
    <w:rsid w:val="005259CE"/>
    <w:rsid w:val="00527C6E"/>
    <w:rsid w:val="00527D6D"/>
    <w:rsid w:val="005300C6"/>
    <w:rsid w:val="0053403E"/>
    <w:rsid w:val="00534DB1"/>
    <w:rsid w:val="00535593"/>
    <w:rsid w:val="00536EDC"/>
    <w:rsid w:val="00537B62"/>
    <w:rsid w:val="00540311"/>
    <w:rsid w:val="005405DA"/>
    <w:rsid w:val="00540B33"/>
    <w:rsid w:val="00540D3C"/>
    <w:rsid w:val="00540E0D"/>
    <w:rsid w:val="005410A7"/>
    <w:rsid w:val="005424D2"/>
    <w:rsid w:val="0054465A"/>
    <w:rsid w:val="00545A3F"/>
    <w:rsid w:val="00545FFF"/>
    <w:rsid w:val="005470AF"/>
    <w:rsid w:val="005519F4"/>
    <w:rsid w:val="00551AD6"/>
    <w:rsid w:val="00552AC0"/>
    <w:rsid w:val="00552E10"/>
    <w:rsid w:val="005543CB"/>
    <w:rsid w:val="00554E84"/>
    <w:rsid w:val="00555192"/>
    <w:rsid w:val="00556997"/>
    <w:rsid w:val="00556A5F"/>
    <w:rsid w:val="00556E6E"/>
    <w:rsid w:val="00560203"/>
    <w:rsid w:val="00562773"/>
    <w:rsid w:val="00564D8F"/>
    <w:rsid w:val="00565F21"/>
    <w:rsid w:val="005665F9"/>
    <w:rsid w:val="00567314"/>
    <w:rsid w:val="005678B4"/>
    <w:rsid w:val="00567B8C"/>
    <w:rsid w:val="00571072"/>
    <w:rsid w:val="005717FD"/>
    <w:rsid w:val="005729FE"/>
    <w:rsid w:val="00572EE2"/>
    <w:rsid w:val="0057432D"/>
    <w:rsid w:val="005747AC"/>
    <w:rsid w:val="005758E0"/>
    <w:rsid w:val="00575F25"/>
    <w:rsid w:val="0057622A"/>
    <w:rsid w:val="005772AB"/>
    <w:rsid w:val="00580E9B"/>
    <w:rsid w:val="00581CA7"/>
    <w:rsid w:val="0058258F"/>
    <w:rsid w:val="00583CC9"/>
    <w:rsid w:val="00584C0C"/>
    <w:rsid w:val="0058504C"/>
    <w:rsid w:val="00587C49"/>
    <w:rsid w:val="00592B72"/>
    <w:rsid w:val="00592E3D"/>
    <w:rsid w:val="00594E22"/>
    <w:rsid w:val="00595D03"/>
    <w:rsid w:val="00596A0F"/>
    <w:rsid w:val="005973E9"/>
    <w:rsid w:val="00597939"/>
    <w:rsid w:val="005A247B"/>
    <w:rsid w:val="005A45D7"/>
    <w:rsid w:val="005B05DF"/>
    <w:rsid w:val="005B1BA4"/>
    <w:rsid w:val="005B21E1"/>
    <w:rsid w:val="005B356B"/>
    <w:rsid w:val="005B3E9B"/>
    <w:rsid w:val="005B4060"/>
    <w:rsid w:val="005B4BFA"/>
    <w:rsid w:val="005B5D2B"/>
    <w:rsid w:val="005B665A"/>
    <w:rsid w:val="005C15F7"/>
    <w:rsid w:val="005C3361"/>
    <w:rsid w:val="005C3499"/>
    <w:rsid w:val="005C3B2C"/>
    <w:rsid w:val="005C42DE"/>
    <w:rsid w:val="005C4648"/>
    <w:rsid w:val="005C4CF7"/>
    <w:rsid w:val="005C4F40"/>
    <w:rsid w:val="005C5203"/>
    <w:rsid w:val="005C58E4"/>
    <w:rsid w:val="005D10ED"/>
    <w:rsid w:val="005D3772"/>
    <w:rsid w:val="005D5AD3"/>
    <w:rsid w:val="005D5E0A"/>
    <w:rsid w:val="005D68B6"/>
    <w:rsid w:val="005E2325"/>
    <w:rsid w:val="005E27A2"/>
    <w:rsid w:val="005E377A"/>
    <w:rsid w:val="005E3B7F"/>
    <w:rsid w:val="005E6CBB"/>
    <w:rsid w:val="005E79B6"/>
    <w:rsid w:val="005F12E9"/>
    <w:rsid w:val="005F3162"/>
    <w:rsid w:val="005F31A8"/>
    <w:rsid w:val="005F3D6F"/>
    <w:rsid w:val="00600379"/>
    <w:rsid w:val="006028CA"/>
    <w:rsid w:val="00602DDD"/>
    <w:rsid w:val="00603980"/>
    <w:rsid w:val="006039C1"/>
    <w:rsid w:val="00605B33"/>
    <w:rsid w:val="00607919"/>
    <w:rsid w:val="00611DEC"/>
    <w:rsid w:val="00613084"/>
    <w:rsid w:val="00614735"/>
    <w:rsid w:val="00614D70"/>
    <w:rsid w:val="00616106"/>
    <w:rsid w:val="006161A0"/>
    <w:rsid w:val="0061659F"/>
    <w:rsid w:val="00620566"/>
    <w:rsid w:val="00620916"/>
    <w:rsid w:val="00620C12"/>
    <w:rsid w:val="006218AC"/>
    <w:rsid w:val="006224F7"/>
    <w:rsid w:val="00623951"/>
    <w:rsid w:val="0062450D"/>
    <w:rsid w:val="00625119"/>
    <w:rsid w:val="006258CD"/>
    <w:rsid w:val="0062738B"/>
    <w:rsid w:val="0063031C"/>
    <w:rsid w:val="006304FB"/>
    <w:rsid w:val="00630519"/>
    <w:rsid w:val="0063097B"/>
    <w:rsid w:val="00631F16"/>
    <w:rsid w:val="006321DB"/>
    <w:rsid w:val="00632FF7"/>
    <w:rsid w:val="00634A3D"/>
    <w:rsid w:val="00635617"/>
    <w:rsid w:val="0063736F"/>
    <w:rsid w:val="0063741E"/>
    <w:rsid w:val="00641A8B"/>
    <w:rsid w:val="006450B4"/>
    <w:rsid w:val="00647324"/>
    <w:rsid w:val="0065080D"/>
    <w:rsid w:val="00651C1C"/>
    <w:rsid w:val="00653B6A"/>
    <w:rsid w:val="00654F98"/>
    <w:rsid w:val="0065669E"/>
    <w:rsid w:val="00656EDB"/>
    <w:rsid w:val="006613FA"/>
    <w:rsid w:val="00661C0B"/>
    <w:rsid w:val="006632B4"/>
    <w:rsid w:val="0066358B"/>
    <w:rsid w:val="00663795"/>
    <w:rsid w:val="00663BC5"/>
    <w:rsid w:val="00665F53"/>
    <w:rsid w:val="00670577"/>
    <w:rsid w:val="00672047"/>
    <w:rsid w:val="0067390A"/>
    <w:rsid w:val="0067591B"/>
    <w:rsid w:val="0067672F"/>
    <w:rsid w:val="0067736A"/>
    <w:rsid w:val="00677910"/>
    <w:rsid w:val="006803A4"/>
    <w:rsid w:val="0068176C"/>
    <w:rsid w:val="006843E5"/>
    <w:rsid w:val="00686BD2"/>
    <w:rsid w:val="006904E2"/>
    <w:rsid w:val="00690A95"/>
    <w:rsid w:val="00691444"/>
    <w:rsid w:val="0069612D"/>
    <w:rsid w:val="00696CBD"/>
    <w:rsid w:val="006A0823"/>
    <w:rsid w:val="006A1170"/>
    <w:rsid w:val="006A2E5B"/>
    <w:rsid w:val="006A3D4F"/>
    <w:rsid w:val="006A42A9"/>
    <w:rsid w:val="006A5097"/>
    <w:rsid w:val="006A705A"/>
    <w:rsid w:val="006B1919"/>
    <w:rsid w:val="006B2C84"/>
    <w:rsid w:val="006B32F0"/>
    <w:rsid w:val="006B331F"/>
    <w:rsid w:val="006B34FA"/>
    <w:rsid w:val="006C113B"/>
    <w:rsid w:val="006C2A9D"/>
    <w:rsid w:val="006C3E90"/>
    <w:rsid w:val="006C5795"/>
    <w:rsid w:val="006D01ED"/>
    <w:rsid w:val="006D280E"/>
    <w:rsid w:val="006D2BF6"/>
    <w:rsid w:val="006D57B1"/>
    <w:rsid w:val="006D6665"/>
    <w:rsid w:val="006D79AD"/>
    <w:rsid w:val="006E1E5C"/>
    <w:rsid w:val="006E21EB"/>
    <w:rsid w:val="006E3A76"/>
    <w:rsid w:val="006E42BD"/>
    <w:rsid w:val="006E466D"/>
    <w:rsid w:val="006E67E4"/>
    <w:rsid w:val="006E723C"/>
    <w:rsid w:val="006F1CFC"/>
    <w:rsid w:val="006F1F15"/>
    <w:rsid w:val="006F2CE4"/>
    <w:rsid w:val="006F3125"/>
    <w:rsid w:val="006F5A5D"/>
    <w:rsid w:val="006F7194"/>
    <w:rsid w:val="006F7BF6"/>
    <w:rsid w:val="007018BE"/>
    <w:rsid w:val="007020B2"/>
    <w:rsid w:val="00702F7C"/>
    <w:rsid w:val="00703966"/>
    <w:rsid w:val="00705918"/>
    <w:rsid w:val="007060A9"/>
    <w:rsid w:val="007071CD"/>
    <w:rsid w:val="0070758E"/>
    <w:rsid w:val="00707999"/>
    <w:rsid w:val="007100B9"/>
    <w:rsid w:val="0071015B"/>
    <w:rsid w:val="0071100B"/>
    <w:rsid w:val="00711ECA"/>
    <w:rsid w:val="00712086"/>
    <w:rsid w:val="00712153"/>
    <w:rsid w:val="00713683"/>
    <w:rsid w:val="0071601D"/>
    <w:rsid w:val="00716577"/>
    <w:rsid w:val="00720555"/>
    <w:rsid w:val="00720ADB"/>
    <w:rsid w:val="00722A14"/>
    <w:rsid w:val="0072487B"/>
    <w:rsid w:val="0072523D"/>
    <w:rsid w:val="00725556"/>
    <w:rsid w:val="007256C4"/>
    <w:rsid w:val="00726159"/>
    <w:rsid w:val="00727425"/>
    <w:rsid w:val="00727906"/>
    <w:rsid w:val="00730095"/>
    <w:rsid w:val="007302B8"/>
    <w:rsid w:val="0073390B"/>
    <w:rsid w:val="0073407E"/>
    <w:rsid w:val="00734A4E"/>
    <w:rsid w:val="00736248"/>
    <w:rsid w:val="0073714F"/>
    <w:rsid w:val="00737386"/>
    <w:rsid w:val="00742505"/>
    <w:rsid w:val="0074266E"/>
    <w:rsid w:val="00742F27"/>
    <w:rsid w:val="007438CC"/>
    <w:rsid w:val="00744A84"/>
    <w:rsid w:val="0074554E"/>
    <w:rsid w:val="007477A2"/>
    <w:rsid w:val="0075098D"/>
    <w:rsid w:val="007524FA"/>
    <w:rsid w:val="00752DB2"/>
    <w:rsid w:val="00753DA2"/>
    <w:rsid w:val="00756325"/>
    <w:rsid w:val="007569A3"/>
    <w:rsid w:val="0076077B"/>
    <w:rsid w:val="00763A23"/>
    <w:rsid w:val="00763CF3"/>
    <w:rsid w:val="00764E1F"/>
    <w:rsid w:val="00766AB4"/>
    <w:rsid w:val="00766CB3"/>
    <w:rsid w:val="0076726B"/>
    <w:rsid w:val="0077109D"/>
    <w:rsid w:val="00772D85"/>
    <w:rsid w:val="007734E2"/>
    <w:rsid w:val="007746EF"/>
    <w:rsid w:val="0077488F"/>
    <w:rsid w:val="00776311"/>
    <w:rsid w:val="007776E1"/>
    <w:rsid w:val="00784676"/>
    <w:rsid w:val="007849FD"/>
    <w:rsid w:val="00784E1A"/>
    <w:rsid w:val="00784F6D"/>
    <w:rsid w:val="007856AF"/>
    <w:rsid w:val="007900B7"/>
    <w:rsid w:val="00796609"/>
    <w:rsid w:val="00797C95"/>
    <w:rsid w:val="007A0CB4"/>
    <w:rsid w:val="007A339D"/>
    <w:rsid w:val="007A4D1D"/>
    <w:rsid w:val="007A69BC"/>
    <w:rsid w:val="007A6C8F"/>
    <w:rsid w:val="007A7C8C"/>
    <w:rsid w:val="007B1A76"/>
    <w:rsid w:val="007B1CCD"/>
    <w:rsid w:val="007B41BD"/>
    <w:rsid w:val="007B42CC"/>
    <w:rsid w:val="007B43B0"/>
    <w:rsid w:val="007B612B"/>
    <w:rsid w:val="007B6767"/>
    <w:rsid w:val="007B68DC"/>
    <w:rsid w:val="007B7092"/>
    <w:rsid w:val="007B7B84"/>
    <w:rsid w:val="007C003B"/>
    <w:rsid w:val="007C09D7"/>
    <w:rsid w:val="007C0C73"/>
    <w:rsid w:val="007C1996"/>
    <w:rsid w:val="007C2E05"/>
    <w:rsid w:val="007C405F"/>
    <w:rsid w:val="007C4BFC"/>
    <w:rsid w:val="007C7F5E"/>
    <w:rsid w:val="007D1440"/>
    <w:rsid w:val="007D1713"/>
    <w:rsid w:val="007D2867"/>
    <w:rsid w:val="007D28F5"/>
    <w:rsid w:val="007D2B7F"/>
    <w:rsid w:val="007D4287"/>
    <w:rsid w:val="007D4BD6"/>
    <w:rsid w:val="007D519C"/>
    <w:rsid w:val="007D57B0"/>
    <w:rsid w:val="007D6CAA"/>
    <w:rsid w:val="007D7C71"/>
    <w:rsid w:val="007E2E24"/>
    <w:rsid w:val="007E4140"/>
    <w:rsid w:val="007E52DC"/>
    <w:rsid w:val="007F0559"/>
    <w:rsid w:val="007F2AD9"/>
    <w:rsid w:val="007F2D34"/>
    <w:rsid w:val="007F6E9F"/>
    <w:rsid w:val="007F7971"/>
    <w:rsid w:val="00801A14"/>
    <w:rsid w:val="00801BA9"/>
    <w:rsid w:val="00802527"/>
    <w:rsid w:val="008047B9"/>
    <w:rsid w:val="00805473"/>
    <w:rsid w:val="00805BDA"/>
    <w:rsid w:val="008061C4"/>
    <w:rsid w:val="00811023"/>
    <w:rsid w:val="008119B2"/>
    <w:rsid w:val="008136F3"/>
    <w:rsid w:val="00814453"/>
    <w:rsid w:val="00814689"/>
    <w:rsid w:val="00816905"/>
    <w:rsid w:val="0082072A"/>
    <w:rsid w:val="0082166A"/>
    <w:rsid w:val="008225C0"/>
    <w:rsid w:val="00825CC9"/>
    <w:rsid w:val="00826243"/>
    <w:rsid w:val="00830912"/>
    <w:rsid w:val="008316FD"/>
    <w:rsid w:val="00831C16"/>
    <w:rsid w:val="00832695"/>
    <w:rsid w:val="00833BA4"/>
    <w:rsid w:val="00834DF4"/>
    <w:rsid w:val="00834E06"/>
    <w:rsid w:val="008371E3"/>
    <w:rsid w:val="00837289"/>
    <w:rsid w:val="00837A8E"/>
    <w:rsid w:val="0084075D"/>
    <w:rsid w:val="0084097E"/>
    <w:rsid w:val="0084183F"/>
    <w:rsid w:val="0084184D"/>
    <w:rsid w:val="00841F2C"/>
    <w:rsid w:val="0084466B"/>
    <w:rsid w:val="008469E6"/>
    <w:rsid w:val="008472B4"/>
    <w:rsid w:val="00847CDB"/>
    <w:rsid w:val="00850A57"/>
    <w:rsid w:val="00850E29"/>
    <w:rsid w:val="008518DB"/>
    <w:rsid w:val="0085227F"/>
    <w:rsid w:val="00852633"/>
    <w:rsid w:val="008536F9"/>
    <w:rsid w:val="00854084"/>
    <w:rsid w:val="008549A9"/>
    <w:rsid w:val="00856037"/>
    <w:rsid w:val="0085669D"/>
    <w:rsid w:val="00857E9F"/>
    <w:rsid w:val="00860561"/>
    <w:rsid w:val="00860BA2"/>
    <w:rsid w:val="0086157E"/>
    <w:rsid w:val="008640E9"/>
    <w:rsid w:val="00865664"/>
    <w:rsid w:val="00865B09"/>
    <w:rsid w:val="0086641D"/>
    <w:rsid w:val="008670BF"/>
    <w:rsid w:val="00870C6E"/>
    <w:rsid w:val="00871947"/>
    <w:rsid w:val="008733B1"/>
    <w:rsid w:val="008737D5"/>
    <w:rsid w:val="0087383F"/>
    <w:rsid w:val="008740B3"/>
    <w:rsid w:val="00874A99"/>
    <w:rsid w:val="00874AFF"/>
    <w:rsid w:val="0087787B"/>
    <w:rsid w:val="0088199D"/>
    <w:rsid w:val="00882640"/>
    <w:rsid w:val="00882F0E"/>
    <w:rsid w:val="008831C3"/>
    <w:rsid w:val="008847D5"/>
    <w:rsid w:val="00885A66"/>
    <w:rsid w:val="00885DED"/>
    <w:rsid w:val="00886AF8"/>
    <w:rsid w:val="00891F15"/>
    <w:rsid w:val="0089317E"/>
    <w:rsid w:val="008932BA"/>
    <w:rsid w:val="008944FA"/>
    <w:rsid w:val="008948FE"/>
    <w:rsid w:val="0089722E"/>
    <w:rsid w:val="008A1293"/>
    <w:rsid w:val="008A1533"/>
    <w:rsid w:val="008A18AD"/>
    <w:rsid w:val="008A2BB9"/>
    <w:rsid w:val="008A2E1F"/>
    <w:rsid w:val="008A3856"/>
    <w:rsid w:val="008A3B2D"/>
    <w:rsid w:val="008A576C"/>
    <w:rsid w:val="008A5E6A"/>
    <w:rsid w:val="008A6CD1"/>
    <w:rsid w:val="008A7023"/>
    <w:rsid w:val="008A735F"/>
    <w:rsid w:val="008B0F65"/>
    <w:rsid w:val="008B1AF2"/>
    <w:rsid w:val="008B4EF3"/>
    <w:rsid w:val="008B6D08"/>
    <w:rsid w:val="008C0234"/>
    <w:rsid w:val="008C1275"/>
    <w:rsid w:val="008C1ABF"/>
    <w:rsid w:val="008C43FE"/>
    <w:rsid w:val="008C519B"/>
    <w:rsid w:val="008C682F"/>
    <w:rsid w:val="008D035C"/>
    <w:rsid w:val="008D0F57"/>
    <w:rsid w:val="008D1463"/>
    <w:rsid w:val="008D2915"/>
    <w:rsid w:val="008D351C"/>
    <w:rsid w:val="008D61BC"/>
    <w:rsid w:val="008D695B"/>
    <w:rsid w:val="008E2622"/>
    <w:rsid w:val="008E5E1E"/>
    <w:rsid w:val="008E6D4D"/>
    <w:rsid w:val="008F00BD"/>
    <w:rsid w:val="008F0994"/>
    <w:rsid w:val="008F1221"/>
    <w:rsid w:val="008F1CD1"/>
    <w:rsid w:val="008F22E8"/>
    <w:rsid w:val="008F303D"/>
    <w:rsid w:val="008F3612"/>
    <w:rsid w:val="008F3B7E"/>
    <w:rsid w:val="008F4F97"/>
    <w:rsid w:val="008F6690"/>
    <w:rsid w:val="009031BB"/>
    <w:rsid w:val="009050E7"/>
    <w:rsid w:val="0090558F"/>
    <w:rsid w:val="00906326"/>
    <w:rsid w:val="00907E15"/>
    <w:rsid w:val="00913AE5"/>
    <w:rsid w:val="0091424E"/>
    <w:rsid w:val="00916BE6"/>
    <w:rsid w:val="0091758B"/>
    <w:rsid w:val="009177B6"/>
    <w:rsid w:val="00920064"/>
    <w:rsid w:val="009206AB"/>
    <w:rsid w:val="00922EE5"/>
    <w:rsid w:val="00923299"/>
    <w:rsid w:val="00923578"/>
    <w:rsid w:val="00923AC0"/>
    <w:rsid w:val="00926D68"/>
    <w:rsid w:val="00927EEE"/>
    <w:rsid w:val="009324A1"/>
    <w:rsid w:val="00932D6D"/>
    <w:rsid w:val="00935F60"/>
    <w:rsid w:val="00937F57"/>
    <w:rsid w:val="00941275"/>
    <w:rsid w:val="00942635"/>
    <w:rsid w:val="00943620"/>
    <w:rsid w:val="00944C14"/>
    <w:rsid w:val="00951430"/>
    <w:rsid w:val="009516CA"/>
    <w:rsid w:val="0095271B"/>
    <w:rsid w:val="00954002"/>
    <w:rsid w:val="00954288"/>
    <w:rsid w:val="00954D62"/>
    <w:rsid w:val="00955038"/>
    <w:rsid w:val="00955DED"/>
    <w:rsid w:val="00955E95"/>
    <w:rsid w:val="00957D4E"/>
    <w:rsid w:val="0096009B"/>
    <w:rsid w:val="009603A1"/>
    <w:rsid w:val="00960D22"/>
    <w:rsid w:val="00961653"/>
    <w:rsid w:val="009635E6"/>
    <w:rsid w:val="009657D8"/>
    <w:rsid w:val="00966240"/>
    <w:rsid w:val="00966DAE"/>
    <w:rsid w:val="00967193"/>
    <w:rsid w:val="0096742E"/>
    <w:rsid w:val="00967B27"/>
    <w:rsid w:val="00967E17"/>
    <w:rsid w:val="0097207E"/>
    <w:rsid w:val="009748D4"/>
    <w:rsid w:val="00982CA1"/>
    <w:rsid w:val="00983F55"/>
    <w:rsid w:val="00984887"/>
    <w:rsid w:val="00984FCB"/>
    <w:rsid w:val="009850F4"/>
    <w:rsid w:val="009858AC"/>
    <w:rsid w:val="00985DF1"/>
    <w:rsid w:val="00986C34"/>
    <w:rsid w:val="0098744C"/>
    <w:rsid w:val="00987D01"/>
    <w:rsid w:val="00991805"/>
    <w:rsid w:val="0099461C"/>
    <w:rsid w:val="00995B77"/>
    <w:rsid w:val="0099642F"/>
    <w:rsid w:val="009966D5"/>
    <w:rsid w:val="009A3254"/>
    <w:rsid w:val="009A332B"/>
    <w:rsid w:val="009A52BD"/>
    <w:rsid w:val="009A5345"/>
    <w:rsid w:val="009A5F59"/>
    <w:rsid w:val="009A5FA8"/>
    <w:rsid w:val="009A72E4"/>
    <w:rsid w:val="009B2368"/>
    <w:rsid w:val="009B4408"/>
    <w:rsid w:val="009B5DED"/>
    <w:rsid w:val="009B697C"/>
    <w:rsid w:val="009B7DFD"/>
    <w:rsid w:val="009C0426"/>
    <w:rsid w:val="009C053A"/>
    <w:rsid w:val="009C193E"/>
    <w:rsid w:val="009C1D7A"/>
    <w:rsid w:val="009C30DA"/>
    <w:rsid w:val="009C33C9"/>
    <w:rsid w:val="009C355E"/>
    <w:rsid w:val="009C47DA"/>
    <w:rsid w:val="009C5D6C"/>
    <w:rsid w:val="009C6401"/>
    <w:rsid w:val="009D0503"/>
    <w:rsid w:val="009D0A94"/>
    <w:rsid w:val="009D1BC9"/>
    <w:rsid w:val="009D4FCF"/>
    <w:rsid w:val="009D5066"/>
    <w:rsid w:val="009D6B06"/>
    <w:rsid w:val="009D736A"/>
    <w:rsid w:val="009E0039"/>
    <w:rsid w:val="009E207F"/>
    <w:rsid w:val="009F0D7C"/>
    <w:rsid w:val="009F3B9E"/>
    <w:rsid w:val="009F4C07"/>
    <w:rsid w:val="009F5122"/>
    <w:rsid w:val="00A00F34"/>
    <w:rsid w:val="00A01C20"/>
    <w:rsid w:val="00A01D43"/>
    <w:rsid w:val="00A02236"/>
    <w:rsid w:val="00A04AE2"/>
    <w:rsid w:val="00A06B10"/>
    <w:rsid w:val="00A0731B"/>
    <w:rsid w:val="00A077BE"/>
    <w:rsid w:val="00A10268"/>
    <w:rsid w:val="00A1228E"/>
    <w:rsid w:val="00A125C2"/>
    <w:rsid w:val="00A140F5"/>
    <w:rsid w:val="00A14530"/>
    <w:rsid w:val="00A21214"/>
    <w:rsid w:val="00A24372"/>
    <w:rsid w:val="00A246F6"/>
    <w:rsid w:val="00A24A20"/>
    <w:rsid w:val="00A250B6"/>
    <w:rsid w:val="00A25C74"/>
    <w:rsid w:val="00A2642D"/>
    <w:rsid w:val="00A26F43"/>
    <w:rsid w:val="00A3174E"/>
    <w:rsid w:val="00A32F7B"/>
    <w:rsid w:val="00A361DD"/>
    <w:rsid w:val="00A36713"/>
    <w:rsid w:val="00A36E7E"/>
    <w:rsid w:val="00A370F1"/>
    <w:rsid w:val="00A378C4"/>
    <w:rsid w:val="00A43751"/>
    <w:rsid w:val="00A43C14"/>
    <w:rsid w:val="00A43DD4"/>
    <w:rsid w:val="00A440B5"/>
    <w:rsid w:val="00A44592"/>
    <w:rsid w:val="00A45474"/>
    <w:rsid w:val="00A45D45"/>
    <w:rsid w:val="00A53064"/>
    <w:rsid w:val="00A53D00"/>
    <w:rsid w:val="00A5446A"/>
    <w:rsid w:val="00A548FB"/>
    <w:rsid w:val="00A552C2"/>
    <w:rsid w:val="00A56F34"/>
    <w:rsid w:val="00A574F2"/>
    <w:rsid w:val="00A602B1"/>
    <w:rsid w:val="00A626CD"/>
    <w:rsid w:val="00A627EB"/>
    <w:rsid w:val="00A65247"/>
    <w:rsid w:val="00A652F4"/>
    <w:rsid w:val="00A66994"/>
    <w:rsid w:val="00A66BDE"/>
    <w:rsid w:val="00A7286D"/>
    <w:rsid w:val="00A7313E"/>
    <w:rsid w:val="00A7383B"/>
    <w:rsid w:val="00A74E8C"/>
    <w:rsid w:val="00A74FE6"/>
    <w:rsid w:val="00A75427"/>
    <w:rsid w:val="00A75883"/>
    <w:rsid w:val="00A77FAB"/>
    <w:rsid w:val="00A81FD0"/>
    <w:rsid w:val="00A872C4"/>
    <w:rsid w:val="00A8756E"/>
    <w:rsid w:val="00A904BC"/>
    <w:rsid w:val="00A908BA"/>
    <w:rsid w:val="00A920D0"/>
    <w:rsid w:val="00A93EEA"/>
    <w:rsid w:val="00A94E96"/>
    <w:rsid w:val="00A95EB0"/>
    <w:rsid w:val="00A97042"/>
    <w:rsid w:val="00A97B88"/>
    <w:rsid w:val="00AA0FA1"/>
    <w:rsid w:val="00AA4F48"/>
    <w:rsid w:val="00AA5193"/>
    <w:rsid w:val="00AA51B6"/>
    <w:rsid w:val="00AA589B"/>
    <w:rsid w:val="00AA6017"/>
    <w:rsid w:val="00AA640C"/>
    <w:rsid w:val="00AB1056"/>
    <w:rsid w:val="00AB10FF"/>
    <w:rsid w:val="00AB14A6"/>
    <w:rsid w:val="00AB2C52"/>
    <w:rsid w:val="00AB315F"/>
    <w:rsid w:val="00AB37DB"/>
    <w:rsid w:val="00AB3A41"/>
    <w:rsid w:val="00AB44D9"/>
    <w:rsid w:val="00AB47B5"/>
    <w:rsid w:val="00AB57F4"/>
    <w:rsid w:val="00AB69E3"/>
    <w:rsid w:val="00AB6D1A"/>
    <w:rsid w:val="00AC068D"/>
    <w:rsid w:val="00AC1B30"/>
    <w:rsid w:val="00AC2575"/>
    <w:rsid w:val="00AC2687"/>
    <w:rsid w:val="00AC338A"/>
    <w:rsid w:val="00AC564B"/>
    <w:rsid w:val="00AC56D3"/>
    <w:rsid w:val="00AC6106"/>
    <w:rsid w:val="00AC6677"/>
    <w:rsid w:val="00AD47D8"/>
    <w:rsid w:val="00AD4D19"/>
    <w:rsid w:val="00AD5905"/>
    <w:rsid w:val="00AD6340"/>
    <w:rsid w:val="00AE2167"/>
    <w:rsid w:val="00AE6758"/>
    <w:rsid w:val="00AE6A41"/>
    <w:rsid w:val="00AE7BEF"/>
    <w:rsid w:val="00AF0570"/>
    <w:rsid w:val="00AF1593"/>
    <w:rsid w:val="00AF53D0"/>
    <w:rsid w:val="00AF7D39"/>
    <w:rsid w:val="00B0014A"/>
    <w:rsid w:val="00B04A91"/>
    <w:rsid w:val="00B04D9A"/>
    <w:rsid w:val="00B0666C"/>
    <w:rsid w:val="00B1121E"/>
    <w:rsid w:val="00B1129F"/>
    <w:rsid w:val="00B12315"/>
    <w:rsid w:val="00B123F7"/>
    <w:rsid w:val="00B14000"/>
    <w:rsid w:val="00B16263"/>
    <w:rsid w:val="00B20239"/>
    <w:rsid w:val="00B241D5"/>
    <w:rsid w:val="00B24616"/>
    <w:rsid w:val="00B257AE"/>
    <w:rsid w:val="00B2691C"/>
    <w:rsid w:val="00B3051B"/>
    <w:rsid w:val="00B30931"/>
    <w:rsid w:val="00B31800"/>
    <w:rsid w:val="00B35019"/>
    <w:rsid w:val="00B350DF"/>
    <w:rsid w:val="00B40E8F"/>
    <w:rsid w:val="00B41523"/>
    <w:rsid w:val="00B43905"/>
    <w:rsid w:val="00B43EC0"/>
    <w:rsid w:val="00B4448D"/>
    <w:rsid w:val="00B4495C"/>
    <w:rsid w:val="00B44EE2"/>
    <w:rsid w:val="00B45BDF"/>
    <w:rsid w:val="00B47863"/>
    <w:rsid w:val="00B532A2"/>
    <w:rsid w:val="00B5337B"/>
    <w:rsid w:val="00B54517"/>
    <w:rsid w:val="00B54FF5"/>
    <w:rsid w:val="00B57E30"/>
    <w:rsid w:val="00B61390"/>
    <w:rsid w:val="00B65E14"/>
    <w:rsid w:val="00B75172"/>
    <w:rsid w:val="00B80211"/>
    <w:rsid w:val="00B816A2"/>
    <w:rsid w:val="00B838ED"/>
    <w:rsid w:val="00B86F80"/>
    <w:rsid w:val="00B87793"/>
    <w:rsid w:val="00B87C50"/>
    <w:rsid w:val="00B91694"/>
    <w:rsid w:val="00B91E3E"/>
    <w:rsid w:val="00B93FB1"/>
    <w:rsid w:val="00B945AC"/>
    <w:rsid w:val="00B976D4"/>
    <w:rsid w:val="00BA0D41"/>
    <w:rsid w:val="00BA2716"/>
    <w:rsid w:val="00BA51AF"/>
    <w:rsid w:val="00BA5481"/>
    <w:rsid w:val="00BA636D"/>
    <w:rsid w:val="00BA7855"/>
    <w:rsid w:val="00BB0132"/>
    <w:rsid w:val="00BB189A"/>
    <w:rsid w:val="00BB2B62"/>
    <w:rsid w:val="00BB30C0"/>
    <w:rsid w:val="00BB3997"/>
    <w:rsid w:val="00BB57C2"/>
    <w:rsid w:val="00BB586C"/>
    <w:rsid w:val="00BB5B21"/>
    <w:rsid w:val="00BC1218"/>
    <w:rsid w:val="00BC5B81"/>
    <w:rsid w:val="00BC5C2F"/>
    <w:rsid w:val="00BD03C5"/>
    <w:rsid w:val="00BE0087"/>
    <w:rsid w:val="00BE12FE"/>
    <w:rsid w:val="00BE29D4"/>
    <w:rsid w:val="00BE2EE9"/>
    <w:rsid w:val="00BE30ED"/>
    <w:rsid w:val="00BE5BC5"/>
    <w:rsid w:val="00BE79F6"/>
    <w:rsid w:val="00BF1985"/>
    <w:rsid w:val="00BF4112"/>
    <w:rsid w:val="00BF4910"/>
    <w:rsid w:val="00BF4E8E"/>
    <w:rsid w:val="00BF545A"/>
    <w:rsid w:val="00C01F4F"/>
    <w:rsid w:val="00C02A7E"/>
    <w:rsid w:val="00C02F23"/>
    <w:rsid w:val="00C10770"/>
    <w:rsid w:val="00C10EF9"/>
    <w:rsid w:val="00C11538"/>
    <w:rsid w:val="00C12B70"/>
    <w:rsid w:val="00C13F02"/>
    <w:rsid w:val="00C16F84"/>
    <w:rsid w:val="00C207DD"/>
    <w:rsid w:val="00C2097E"/>
    <w:rsid w:val="00C22C4A"/>
    <w:rsid w:val="00C24007"/>
    <w:rsid w:val="00C252E2"/>
    <w:rsid w:val="00C258DE"/>
    <w:rsid w:val="00C26E98"/>
    <w:rsid w:val="00C305F6"/>
    <w:rsid w:val="00C3095B"/>
    <w:rsid w:val="00C351C8"/>
    <w:rsid w:val="00C40A29"/>
    <w:rsid w:val="00C42F3B"/>
    <w:rsid w:val="00C43920"/>
    <w:rsid w:val="00C44C78"/>
    <w:rsid w:val="00C4787C"/>
    <w:rsid w:val="00C51ACA"/>
    <w:rsid w:val="00C51C1C"/>
    <w:rsid w:val="00C520C5"/>
    <w:rsid w:val="00C55060"/>
    <w:rsid w:val="00C55A86"/>
    <w:rsid w:val="00C61F67"/>
    <w:rsid w:val="00C63326"/>
    <w:rsid w:val="00C63738"/>
    <w:rsid w:val="00C63FEA"/>
    <w:rsid w:val="00C649E1"/>
    <w:rsid w:val="00C67144"/>
    <w:rsid w:val="00C704EA"/>
    <w:rsid w:val="00C705F9"/>
    <w:rsid w:val="00C720B1"/>
    <w:rsid w:val="00C72382"/>
    <w:rsid w:val="00C76EB4"/>
    <w:rsid w:val="00C815E5"/>
    <w:rsid w:val="00C82BD9"/>
    <w:rsid w:val="00C831F8"/>
    <w:rsid w:val="00C839A7"/>
    <w:rsid w:val="00C84E12"/>
    <w:rsid w:val="00C85FAD"/>
    <w:rsid w:val="00C8702C"/>
    <w:rsid w:val="00C90626"/>
    <w:rsid w:val="00C907B6"/>
    <w:rsid w:val="00C914F1"/>
    <w:rsid w:val="00C91F73"/>
    <w:rsid w:val="00C92301"/>
    <w:rsid w:val="00C925E5"/>
    <w:rsid w:val="00C92DFF"/>
    <w:rsid w:val="00C94A1C"/>
    <w:rsid w:val="00C95CB0"/>
    <w:rsid w:val="00C9682B"/>
    <w:rsid w:val="00CA20F4"/>
    <w:rsid w:val="00CA76E5"/>
    <w:rsid w:val="00CB16A1"/>
    <w:rsid w:val="00CB1B5D"/>
    <w:rsid w:val="00CB29B7"/>
    <w:rsid w:val="00CB47C2"/>
    <w:rsid w:val="00CB4A6B"/>
    <w:rsid w:val="00CB50A3"/>
    <w:rsid w:val="00CB5238"/>
    <w:rsid w:val="00CB59B9"/>
    <w:rsid w:val="00CB73C6"/>
    <w:rsid w:val="00CC17C1"/>
    <w:rsid w:val="00CC3894"/>
    <w:rsid w:val="00CC4B06"/>
    <w:rsid w:val="00CC58FE"/>
    <w:rsid w:val="00CC6B44"/>
    <w:rsid w:val="00CD1844"/>
    <w:rsid w:val="00CD2EDF"/>
    <w:rsid w:val="00CD48F0"/>
    <w:rsid w:val="00CD4F89"/>
    <w:rsid w:val="00CD5932"/>
    <w:rsid w:val="00CD69D5"/>
    <w:rsid w:val="00CD6A68"/>
    <w:rsid w:val="00CD7205"/>
    <w:rsid w:val="00CE0711"/>
    <w:rsid w:val="00CE0A45"/>
    <w:rsid w:val="00CE0F0B"/>
    <w:rsid w:val="00CE18C7"/>
    <w:rsid w:val="00CE24C0"/>
    <w:rsid w:val="00CE3432"/>
    <w:rsid w:val="00CE7AAC"/>
    <w:rsid w:val="00CF0AF1"/>
    <w:rsid w:val="00CF1FBD"/>
    <w:rsid w:val="00CF3924"/>
    <w:rsid w:val="00CF3AA8"/>
    <w:rsid w:val="00CF3BA3"/>
    <w:rsid w:val="00CF5E6E"/>
    <w:rsid w:val="00CF79E6"/>
    <w:rsid w:val="00D0046D"/>
    <w:rsid w:val="00D01D77"/>
    <w:rsid w:val="00D022A4"/>
    <w:rsid w:val="00D02D92"/>
    <w:rsid w:val="00D0318E"/>
    <w:rsid w:val="00D041E5"/>
    <w:rsid w:val="00D05905"/>
    <w:rsid w:val="00D06B7E"/>
    <w:rsid w:val="00D06D39"/>
    <w:rsid w:val="00D11111"/>
    <w:rsid w:val="00D12A32"/>
    <w:rsid w:val="00D13AF3"/>
    <w:rsid w:val="00D144D6"/>
    <w:rsid w:val="00D14D66"/>
    <w:rsid w:val="00D171F9"/>
    <w:rsid w:val="00D21B4A"/>
    <w:rsid w:val="00D23F83"/>
    <w:rsid w:val="00D262F8"/>
    <w:rsid w:val="00D2687E"/>
    <w:rsid w:val="00D3080D"/>
    <w:rsid w:val="00D30ED2"/>
    <w:rsid w:val="00D336CB"/>
    <w:rsid w:val="00D3461E"/>
    <w:rsid w:val="00D36209"/>
    <w:rsid w:val="00D36EED"/>
    <w:rsid w:val="00D417B4"/>
    <w:rsid w:val="00D42E9B"/>
    <w:rsid w:val="00D45286"/>
    <w:rsid w:val="00D5092E"/>
    <w:rsid w:val="00D51010"/>
    <w:rsid w:val="00D51551"/>
    <w:rsid w:val="00D516F9"/>
    <w:rsid w:val="00D51CB2"/>
    <w:rsid w:val="00D52633"/>
    <w:rsid w:val="00D5349F"/>
    <w:rsid w:val="00D55B4F"/>
    <w:rsid w:val="00D60B0B"/>
    <w:rsid w:val="00D63125"/>
    <w:rsid w:val="00D63552"/>
    <w:rsid w:val="00D66C34"/>
    <w:rsid w:val="00D70155"/>
    <w:rsid w:val="00D72C2D"/>
    <w:rsid w:val="00D74127"/>
    <w:rsid w:val="00D750A9"/>
    <w:rsid w:val="00D75EA5"/>
    <w:rsid w:val="00D80085"/>
    <w:rsid w:val="00D816CF"/>
    <w:rsid w:val="00D81DF9"/>
    <w:rsid w:val="00D82373"/>
    <w:rsid w:val="00D85A37"/>
    <w:rsid w:val="00D86154"/>
    <w:rsid w:val="00D8623E"/>
    <w:rsid w:val="00D86B9A"/>
    <w:rsid w:val="00D8729E"/>
    <w:rsid w:val="00D87E79"/>
    <w:rsid w:val="00D9171F"/>
    <w:rsid w:val="00D94185"/>
    <w:rsid w:val="00D95ABE"/>
    <w:rsid w:val="00D9684E"/>
    <w:rsid w:val="00D971AF"/>
    <w:rsid w:val="00DA3A5A"/>
    <w:rsid w:val="00DA557D"/>
    <w:rsid w:val="00DA684A"/>
    <w:rsid w:val="00DB1D89"/>
    <w:rsid w:val="00DB3CF4"/>
    <w:rsid w:val="00DB3D23"/>
    <w:rsid w:val="00DB41D0"/>
    <w:rsid w:val="00DB43DC"/>
    <w:rsid w:val="00DB4FD1"/>
    <w:rsid w:val="00DB6E43"/>
    <w:rsid w:val="00DB7718"/>
    <w:rsid w:val="00DC3AD5"/>
    <w:rsid w:val="00DC3BD7"/>
    <w:rsid w:val="00DC4346"/>
    <w:rsid w:val="00DD055E"/>
    <w:rsid w:val="00DD0660"/>
    <w:rsid w:val="00DD2D7F"/>
    <w:rsid w:val="00DE0F9B"/>
    <w:rsid w:val="00DE15C3"/>
    <w:rsid w:val="00DE1676"/>
    <w:rsid w:val="00DE22CE"/>
    <w:rsid w:val="00DE2970"/>
    <w:rsid w:val="00DE433A"/>
    <w:rsid w:val="00DE535B"/>
    <w:rsid w:val="00DE639B"/>
    <w:rsid w:val="00DF03F8"/>
    <w:rsid w:val="00DF0F50"/>
    <w:rsid w:val="00DF56DD"/>
    <w:rsid w:val="00E015A8"/>
    <w:rsid w:val="00E01BD6"/>
    <w:rsid w:val="00E02922"/>
    <w:rsid w:val="00E031B6"/>
    <w:rsid w:val="00E03883"/>
    <w:rsid w:val="00E04D41"/>
    <w:rsid w:val="00E05BDB"/>
    <w:rsid w:val="00E05FCF"/>
    <w:rsid w:val="00E06593"/>
    <w:rsid w:val="00E066AD"/>
    <w:rsid w:val="00E107DE"/>
    <w:rsid w:val="00E119C1"/>
    <w:rsid w:val="00E1262B"/>
    <w:rsid w:val="00E14FB1"/>
    <w:rsid w:val="00E16302"/>
    <w:rsid w:val="00E21583"/>
    <w:rsid w:val="00E22D86"/>
    <w:rsid w:val="00E22E21"/>
    <w:rsid w:val="00E23030"/>
    <w:rsid w:val="00E2331A"/>
    <w:rsid w:val="00E23E5F"/>
    <w:rsid w:val="00E24377"/>
    <w:rsid w:val="00E24CFE"/>
    <w:rsid w:val="00E25E45"/>
    <w:rsid w:val="00E2690B"/>
    <w:rsid w:val="00E2749A"/>
    <w:rsid w:val="00E30407"/>
    <w:rsid w:val="00E30E9B"/>
    <w:rsid w:val="00E31DED"/>
    <w:rsid w:val="00E32211"/>
    <w:rsid w:val="00E32254"/>
    <w:rsid w:val="00E332CB"/>
    <w:rsid w:val="00E34F4A"/>
    <w:rsid w:val="00E37579"/>
    <w:rsid w:val="00E41504"/>
    <w:rsid w:val="00E42013"/>
    <w:rsid w:val="00E470F2"/>
    <w:rsid w:val="00E47479"/>
    <w:rsid w:val="00E47D2E"/>
    <w:rsid w:val="00E527EE"/>
    <w:rsid w:val="00E5331F"/>
    <w:rsid w:val="00E57208"/>
    <w:rsid w:val="00E57490"/>
    <w:rsid w:val="00E60391"/>
    <w:rsid w:val="00E60A04"/>
    <w:rsid w:val="00E62DE0"/>
    <w:rsid w:val="00E6405F"/>
    <w:rsid w:val="00E65B11"/>
    <w:rsid w:val="00E66450"/>
    <w:rsid w:val="00E67590"/>
    <w:rsid w:val="00E701A9"/>
    <w:rsid w:val="00E70D5F"/>
    <w:rsid w:val="00E73815"/>
    <w:rsid w:val="00E773E7"/>
    <w:rsid w:val="00E7794C"/>
    <w:rsid w:val="00E80BAA"/>
    <w:rsid w:val="00E80C9B"/>
    <w:rsid w:val="00E81122"/>
    <w:rsid w:val="00E81633"/>
    <w:rsid w:val="00E81677"/>
    <w:rsid w:val="00E81F2B"/>
    <w:rsid w:val="00E84885"/>
    <w:rsid w:val="00E850EA"/>
    <w:rsid w:val="00E856F8"/>
    <w:rsid w:val="00E86417"/>
    <w:rsid w:val="00E87193"/>
    <w:rsid w:val="00E8736A"/>
    <w:rsid w:val="00E917AD"/>
    <w:rsid w:val="00E91993"/>
    <w:rsid w:val="00E91BFA"/>
    <w:rsid w:val="00E93545"/>
    <w:rsid w:val="00E94749"/>
    <w:rsid w:val="00E9529A"/>
    <w:rsid w:val="00E95D41"/>
    <w:rsid w:val="00E96157"/>
    <w:rsid w:val="00E97485"/>
    <w:rsid w:val="00EA073A"/>
    <w:rsid w:val="00EA0EB4"/>
    <w:rsid w:val="00EA2053"/>
    <w:rsid w:val="00EA3358"/>
    <w:rsid w:val="00EA42C4"/>
    <w:rsid w:val="00EA4383"/>
    <w:rsid w:val="00EA4A46"/>
    <w:rsid w:val="00EA4E22"/>
    <w:rsid w:val="00EA55BB"/>
    <w:rsid w:val="00EA661A"/>
    <w:rsid w:val="00EA7085"/>
    <w:rsid w:val="00EA7DA1"/>
    <w:rsid w:val="00EB11B4"/>
    <w:rsid w:val="00EB25FA"/>
    <w:rsid w:val="00EB36F3"/>
    <w:rsid w:val="00EB37AE"/>
    <w:rsid w:val="00EB43CE"/>
    <w:rsid w:val="00EB66D5"/>
    <w:rsid w:val="00EB7349"/>
    <w:rsid w:val="00EC1CCA"/>
    <w:rsid w:val="00EC1F25"/>
    <w:rsid w:val="00EC24CE"/>
    <w:rsid w:val="00EC4FCE"/>
    <w:rsid w:val="00EC625F"/>
    <w:rsid w:val="00EC6956"/>
    <w:rsid w:val="00EC6C09"/>
    <w:rsid w:val="00ED022C"/>
    <w:rsid w:val="00ED0752"/>
    <w:rsid w:val="00ED0BF1"/>
    <w:rsid w:val="00ED2204"/>
    <w:rsid w:val="00ED4817"/>
    <w:rsid w:val="00ED6AA9"/>
    <w:rsid w:val="00EE22D8"/>
    <w:rsid w:val="00EE657F"/>
    <w:rsid w:val="00EE6885"/>
    <w:rsid w:val="00EF08F3"/>
    <w:rsid w:val="00EF0C29"/>
    <w:rsid w:val="00EF187B"/>
    <w:rsid w:val="00EF2575"/>
    <w:rsid w:val="00EF3390"/>
    <w:rsid w:val="00EF4A02"/>
    <w:rsid w:val="00EF5ACF"/>
    <w:rsid w:val="00EF74DA"/>
    <w:rsid w:val="00F01FAD"/>
    <w:rsid w:val="00F025D8"/>
    <w:rsid w:val="00F031AC"/>
    <w:rsid w:val="00F04236"/>
    <w:rsid w:val="00F04A43"/>
    <w:rsid w:val="00F05C50"/>
    <w:rsid w:val="00F06B74"/>
    <w:rsid w:val="00F07F81"/>
    <w:rsid w:val="00F07FAA"/>
    <w:rsid w:val="00F1007E"/>
    <w:rsid w:val="00F1171A"/>
    <w:rsid w:val="00F11ADE"/>
    <w:rsid w:val="00F14636"/>
    <w:rsid w:val="00F16B12"/>
    <w:rsid w:val="00F16CE1"/>
    <w:rsid w:val="00F1772E"/>
    <w:rsid w:val="00F20AE5"/>
    <w:rsid w:val="00F225C3"/>
    <w:rsid w:val="00F22A6B"/>
    <w:rsid w:val="00F22F43"/>
    <w:rsid w:val="00F242DE"/>
    <w:rsid w:val="00F26186"/>
    <w:rsid w:val="00F26AC6"/>
    <w:rsid w:val="00F27B50"/>
    <w:rsid w:val="00F3186A"/>
    <w:rsid w:val="00F354BA"/>
    <w:rsid w:val="00F359F6"/>
    <w:rsid w:val="00F35B46"/>
    <w:rsid w:val="00F36DF5"/>
    <w:rsid w:val="00F400EC"/>
    <w:rsid w:val="00F42F99"/>
    <w:rsid w:val="00F43177"/>
    <w:rsid w:val="00F44F0C"/>
    <w:rsid w:val="00F45448"/>
    <w:rsid w:val="00F46BEC"/>
    <w:rsid w:val="00F47249"/>
    <w:rsid w:val="00F50DFF"/>
    <w:rsid w:val="00F5266E"/>
    <w:rsid w:val="00F531BD"/>
    <w:rsid w:val="00F5447B"/>
    <w:rsid w:val="00F54553"/>
    <w:rsid w:val="00F61010"/>
    <w:rsid w:val="00F61227"/>
    <w:rsid w:val="00F61EE3"/>
    <w:rsid w:val="00F6562B"/>
    <w:rsid w:val="00F6589E"/>
    <w:rsid w:val="00F66BF5"/>
    <w:rsid w:val="00F67288"/>
    <w:rsid w:val="00F67F22"/>
    <w:rsid w:val="00F7130C"/>
    <w:rsid w:val="00F71C90"/>
    <w:rsid w:val="00F71CFF"/>
    <w:rsid w:val="00F74D6E"/>
    <w:rsid w:val="00F74FD8"/>
    <w:rsid w:val="00F75AAE"/>
    <w:rsid w:val="00F80594"/>
    <w:rsid w:val="00F80C2D"/>
    <w:rsid w:val="00F82155"/>
    <w:rsid w:val="00F82EDA"/>
    <w:rsid w:val="00F832B1"/>
    <w:rsid w:val="00F8586B"/>
    <w:rsid w:val="00F85A7F"/>
    <w:rsid w:val="00F86159"/>
    <w:rsid w:val="00F9092F"/>
    <w:rsid w:val="00F90FB3"/>
    <w:rsid w:val="00F92345"/>
    <w:rsid w:val="00F9413E"/>
    <w:rsid w:val="00F94672"/>
    <w:rsid w:val="00F9535B"/>
    <w:rsid w:val="00F96A67"/>
    <w:rsid w:val="00FA0F53"/>
    <w:rsid w:val="00FA12BB"/>
    <w:rsid w:val="00FA1392"/>
    <w:rsid w:val="00FA14EA"/>
    <w:rsid w:val="00FA383E"/>
    <w:rsid w:val="00FA5ED3"/>
    <w:rsid w:val="00FA6C4D"/>
    <w:rsid w:val="00FA6CD6"/>
    <w:rsid w:val="00FA70E8"/>
    <w:rsid w:val="00FB0E97"/>
    <w:rsid w:val="00FB1101"/>
    <w:rsid w:val="00FB674F"/>
    <w:rsid w:val="00FB712C"/>
    <w:rsid w:val="00FC6C9C"/>
    <w:rsid w:val="00FC749B"/>
    <w:rsid w:val="00FC7E84"/>
    <w:rsid w:val="00FD069B"/>
    <w:rsid w:val="00FD3F80"/>
    <w:rsid w:val="00FD6982"/>
    <w:rsid w:val="00FE0F27"/>
    <w:rsid w:val="00FE13CA"/>
    <w:rsid w:val="00FE2B4A"/>
    <w:rsid w:val="00FE458D"/>
    <w:rsid w:val="00FE45ED"/>
    <w:rsid w:val="00FE5C5C"/>
    <w:rsid w:val="00FE66A3"/>
    <w:rsid w:val="00FE6A71"/>
    <w:rsid w:val="00FE7D3C"/>
    <w:rsid w:val="00FF4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A3073"/>
  <w15:docId w15:val="{633A8CAB-4091-4B7F-9F49-69ADB45D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hAnsi="Arial"/>
      <w:sz w:val="22"/>
      <w:lang w:val="cs-CZ"/>
    </w:rPr>
  </w:style>
  <w:style w:type="paragraph" w:styleId="Nadpis1">
    <w:name w:val="heading 1"/>
    <w:basedOn w:val="Normln"/>
    <w:next w:val="Bezmezer"/>
    <w:qFormat/>
    <w:rsid w:val="00E94749"/>
    <w:pPr>
      <w:keepNext/>
      <w:numPr>
        <w:numId w:val="25"/>
      </w:numPr>
      <w:spacing w:before="360" w:after="120"/>
      <w:jc w:val="center"/>
      <w:outlineLvl w:val="0"/>
    </w:pPr>
    <w:rPr>
      <w:b/>
      <w:kern w:val="28"/>
    </w:rPr>
  </w:style>
  <w:style w:type="paragraph" w:styleId="Nadpis2">
    <w:name w:val="heading 2"/>
    <w:basedOn w:val="Normln"/>
    <w:next w:val="Normln"/>
    <w:link w:val="Nadpis2Char"/>
    <w:semiHidden/>
    <w:unhideWhenUsed/>
    <w:qFormat/>
    <w:rsid w:val="009A72E4"/>
    <w:pPr>
      <w:keepNext/>
      <w:spacing w:before="240" w:after="60" w:line="360" w:lineRule="auto"/>
      <w:outlineLvl w:val="1"/>
    </w:pPr>
    <w:rPr>
      <w:rFonts w:ascii="Cambria" w:hAnsi="Cambria"/>
      <w:b/>
      <w:bCs/>
      <w:i/>
      <w:iCs/>
      <w:sz w:val="28"/>
      <w:szCs w:val="28"/>
      <w:lang w:eastAsia="cs-CZ"/>
    </w:rPr>
  </w:style>
  <w:style w:type="paragraph" w:styleId="Nadpis6">
    <w:name w:val="heading 6"/>
    <w:basedOn w:val="Normln"/>
    <w:next w:val="Normln"/>
    <w:link w:val="Nadpis6Char"/>
    <w:uiPriority w:val="9"/>
    <w:semiHidden/>
    <w:unhideWhenUsed/>
    <w:qFormat/>
    <w:rsid w:val="00E05BDB"/>
    <w:pPr>
      <w:spacing w:before="240" w:after="60"/>
      <w:outlineLvl w:val="5"/>
    </w:pPr>
    <w:rPr>
      <w:rFonts w:ascii="Calibri" w:hAnsi="Calibri"/>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semiHidden/>
    <w:rPr>
      <w:rFonts w:ascii="Arial" w:hAnsi="Arial"/>
    </w:rPr>
  </w:style>
  <w:style w:type="character" w:customStyle="1" w:styleId="platne1">
    <w:name w:val="platne1"/>
    <w:basedOn w:val="Standardnpsmoodstavce"/>
  </w:style>
  <w:style w:type="character" w:styleId="Siln">
    <w:name w:val="Strong"/>
    <w:uiPriority w:val="22"/>
    <w:qFormat/>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E5331F"/>
    <w:pPr>
      <w:ind w:left="708"/>
    </w:pPr>
  </w:style>
  <w:style w:type="character" w:customStyle="1" w:styleId="neplatne1">
    <w:name w:val="neplatne1"/>
    <w:rsid w:val="00C95CB0"/>
  </w:style>
  <w:style w:type="paragraph" w:styleId="Textpoznpodarou">
    <w:name w:val="footnote text"/>
    <w:basedOn w:val="Normln"/>
    <w:link w:val="TextpoznpodarouChar"/>
    <w:unhideWhenUsed/>
    <w:rsid w:val="0067672F"/>
    <w:pPr>
      <w:spacing w:after="60"/>
      <w:ind w:left="567" w:hanging="567"/>
      <w:jc w:val="both"/>
    </w:pPr>
    <w:rPr>
      <w:sz w:val="18"/>
    </w:rPr>
  </w:style>
  <w:style w:type="character" w:customStyle="1" w:styleId="TextpoznpodarouChar">
    <w:name w:val="Text pozn. pod čarou Char"/>
    <w:link w:val="Textpoznpodarou"/>
    <w:rsid w:val="0067672F"/>
    <w:rPr>
      <w:rFonts w:ascii="Arial" w:hAnsi="Arial"/>
      <w:sz w:val="18"/>
      <w:lang w:eastAsia="en-US"/>
    </w:rPr>
  </w:style>
  <w:style w:type="character" w:styleId="Znakapoznpodarou">
    <w:name w:val="footnote reference"/>
    <w:uiPriority w:val="99"/>
    <w:unhideWhenUsed/>
    <w:rsid w:val="00926D68"/>
    <w:rPr>
      <w:vertAlign w:val="superscript"/>
    </w:rPr>
  </w:style>
  <w:style w:type="character" w:customStyle="1" w:styleId="neplatne">
    <w:name w:val="neplatne"/>
    <w:rsid w:val="00AC1B30"/>
  </w:style>
  <w:style w:type="character" w:customStyle="1" w:styleId="platne">
    <w:name w:val="platne"/>
    <w:rsid w:val="008D1463"/>
  </w:style>
  <w:style w:type="character" w:styleId="Hypertextovodkaz">
    <w:name w:val="Hyperlink"/>
    <w:uiPriority w:val="99"/>
    <w:unhideWhenUsed/>
    <w:rsid w:val="00383372"/>
    <w:rPr>
      <w:color w:val="0000FF"/>
      <w:u w:val="single"/>
    </w:rPr>
  </w:style>
  <w:style w:type="table" w:styleId="Mkatabulky">
    <w:name w:val="Table Grid"/>
    <w:basedOn w:val="Normlntabulka"/>
    <w:uiPriority w:val="59"/>
    <w:rsid w:val="0099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E05BDB"/>
    <w:rPr>
      <w:rFonts w:ascii="Calibri" w:eastAsia="Times New Roman" w:hAnsi="Calibri" w:cs="Times New Roman"/>
      <w:b/>
      <w:bCs/>
      <w:sz w:val="22"/>
      <w:szCs w:val="22"/>
      <w:lang w:eastAsia="en-US"/>
    </w:rPr>
  </w:style>
  <w:style w:type="character" w:customStyle="1" w:styleId="nowrap">
    <w:name w:val="nowrap"/>
    <w:rsid w:val="00A24372"/>
  </w:style>
  <w:style w:type="character" w:styleId="Odkaznakoment">
    <w:name w:val="annotation reference"/>
    <w:uiPriority w:val="99"/>
    <w:semiHidden/>
    <w:unhideWhenUsed/>
    <w:rsid w:val="00044F0A"/>
    <w:rPr>
      <w:sz w:val="16"/>
      <w:szCs w:val="16"/>
    </w:rPr>
  </w:style>
  <w:style w:type="paragraph" w:styleId="Textkomente">
    <w:name w:val="annotation text"/>
    <w:basedOn w:val="Normln"/>
    <w:link w:val="TextkomenteChar"/>
    <w:uiPriority w:val="99"/>
    <w:semiHidden/>
    <w:unhideWhenUsed/>
    <w:rsid w:val="00044F0A"/>
    <w:rPr>
      <w:sz w:val="20"/>
    </w:rPr>
  </w:style>
  <w:style w:type="character" w:customStyle="1" w:styleId="TextkomenteChar">
    <w:name w:val="Text komentáře Char"/>
    <w:link w:val="Textkomente"/>
    <w:uiPriority w:val="99"/>
    <w:semiHidden/>
    <w:rsid w:val="00044F0A"/>
    <w:rPr>
      <w:rFonts w:ascii="Arial" w:hAnsi="Arial"/>
      <w:lang w:eastAsia="en-US"/>
    </w:rPr>
  </w:style>
  <w:style w:type="paragraph" w:styleId="Pedmtkomente">
    <w:name w:val="annotation subject"/>
    <w:basedOn w:val="Textkomente"/>
    <w:next w:val="Textkomente"/>
    <w:link w:val="PedmtkomenteChar"/>
    <w:uiPriority w:val="99"/>
    <w:semiHidden/>
    <w:unhideWhenUsed/>
    <w:rsid w:val="00044F0A"/>
    <w:rPr>
      <w:b/>
      <w:bCs/>
    </w:rPr>
  </w:style>
  <w:style w:type="character" w:customStyle="1" w:styleId="PedmtkomenteChar">
    <w:name w:val="Předmět komentáře Char"/>
    <w:link w:val="Pedmtkomente"/>
    <w:uiPriority w:val="99"/>
    <w:semiHidden/>
    <w:rsid w:val="00044F0A"/>
    <w:rPr>
      <w:rFonts w:ascii="Arial" w:hAnsi="Arial"/>
      <w:b/>
      <w:bCs/>
      <w:lang w:eastAsia="en-US"/>
    </w:rPr>
  </w:style>
  <w:style w:type="paragraph" w:styleId="Revize">
    <w:name w:val="Revision"/>
    <w:hidden/>
    <w:uiPriority w:val="99"/>
    <w:semiHidden/>
    <w:rsid w:val="00500CD6"/>
    <w:rPr>
      <w:rFonts w:ascii="Arial" w:hAnsi="Arial"/>
      <w:sz w:val="22"/>
      <w:lang w:val="cs-CZ"/>
    </w:rPr>
  </w:style>
  <w:style w:type="character" w:customStyle="1" w:styleId="Nadpis2Char">
    <w:name w:val="Nadpis 2 Char"/>
    <w:link w:val="Nadpis2"/>
    <w:semiHidden/>
    <w:rsid w:val="009A72E4"/>
    <w:rPr>
      <w:rFonts w:ascii="Cambria" w:hAnsi="Cambria"/>
      <w:b/>
      <w:bCs/>
      <w:i/>
      <w:iCs/>
      <w:sz w:val="28"/>
      <w:szCs w:val="28"/>
    </w:rPr>
  </w:style>
  <w:style w:type="paragraph" w:styleId="Bezmezer">
    <w:name w:val="No Spacing"/>
    <w:aliases w:val="Odstavce"/>
    <w:uiPriority w:val="1"/>
    <w:qFormat/>
    <w:rsid w:val="00470225"/>
    <w:pPr>
      <w:numPr>
        <w:numId w:val="26"/>
      </w:numPr>
      <w:spacing w:after="120" w:line="360" w:lineRule="auto"/>
      <w:ind w:left="567" w:hanging="567"/>
      <w:jc w:val="both"/>
    </w:pPr>
    <w:rPr>
      <w:rFonts w:ascii="Arial" w:hAnsi="Arial"/>
      <w:sz w:val="22"/>
      <w:lang w:val="cs-CZ"/>
    </w:rPr>
  </w:style>
  <w:style w:type="paragraph" w:styleId="Nzev">
    <w:name w:val="Title"/>
    <w:basedOn w:val="Normln"/>
    <w:next w:val="Normln"/>
    <w:link w:val="NzevChar"/>
    <w:uiPriority w:val="10"/>
    <w:qFormat/>
    <w:rsid w:val="00263EF8"/>
    <w:pPr>
      <w:spacing w:line="360" w:lineRule="auto"/>
      <w:jc w:val="both"/>
      <w:outlineLvl w:val="0"/>
    </w:pPr>
    <w:rPr>
      <w:bCs/>
      <w:i/>
      <w:kern w:val="28"/>
      <w:sz w:val="20"/>
      <w:szCs w:val="32"/>
    </w:rPr>
  </w:style>
  <w:style w:type="character" w:customStyle="1" w:styleId="NzevChar">
    <w:name w:val="Název Char"/>
    <w:link w:val="Nzev"/>
    <w:uiPriority w:val="10"/>
    <w:rsid w:val="00263EF8"/>
    <w:rPr>
      <w:rFonts w:ascii="Arial" w:eastAsia="Times New Roman" w:hAnsi="Arial" w:cs="Times New Roman"/>
      <w:bCs/>
      <w:i/>
      <w:kern w:val="28"/>
      <w:szCs w:val="32"/>
      <w:lang w:eastAsia="en-US"/>
    </w:rPr>
  </w:style>
  <w:style w:type="character" w:customStyle="1" w:styleId="ZpatChar">
    <w:name w:val="Zápatí Char"/>
    <w:link w:val="Zpat"/>
    <w:uiPriority w:val="99"/>
    <w:rsid w:val="007018BE"/>
    <w:rPr>
      <w:rFonts w:ascii="Arial" w:hAnsi="Arial"/>
      <w:sz w:val="22"/>
      <w:lang w:eastAsia="en-US"/>
    </w:rPr>
  </w:style>
  <w:style w:type="table" w:customStyle="1" w:styleId="Mkatabulky2">
    <w:name w:val="Mřížka tabulky2"/>
    <w:basedOn w:val="Normlntabulka"/>
    <w:next w:val="Mkatabulky"/>
    <w:uiPriority w:val="59"/>
    <w:rsid w:val="003248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33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7867">
      <w:bodyDiv w:val="1"/>
      <w:marLeft w:val="0"/>
      <w:marRight w:val="0"/>
      <w:marTop w:val="0"/>
      <w:marBottom w:val="0"/>
      <w:divBdr>
        <w:top w:val="none" w:sz="0" w:space="0" w:color="auto"/>
        <w:left w:val="none" w:sz="0" w:space="0" w:color="auto"/>
        <w:bottom w:val="none" w:sz="0" w:space="0" w:color="auto"/>
        <w:right w:val="none" w:sz="0" w:space="0" w:color="auto"/>
      </w:divBdr>
      <w:divsChild>
        <w:div w:id="935476585">
          <w:marLeft w:val="0"/>
          <w:marRight w:val="0"/>
          <w:marTop w:val="0"/>
          <w:marBottom w:val="375"/>
          <w:divBdr>
            <w:top w:val="single" w:sz="6" w:space="0" w:color="9A9A9A"/>
            <w:left w:val="single" w:sz="6" w:space="0" w:color="9A9A9A"/>
            <w:bottom w:val="single" w:sz="6" w:space="0" w:color="9A9A9A"/>
            <w:right w:val="single" w:sz="6" w:space="0" w:color="9A9A9A"/>
          </w:divBdr>
          <w:divsChild>
            <w:div w:id="1923636852">
              <w:marLeft w:val="0"/>
              <w:marRight w:val="0"/>
              <w:marTop w:val="0"/>
              <w:marBottom w:val="0"/>
              <w:divBdr>
                <w:top w:val="none" w:sz="0" w:space="0" w:color="auto"/>
                <w:left w:val="none" w:sz="0" w:space="0" w:color="auto"/>
                <w:bottom w:val="none" w:sz="0" w:space="0" w:color="auto"/>
                <w:right w:val="none" w:sz="0" w:space="0" w:color="auto"/>
              </w:divBdr>
              <w:divsChild>
                <w:div w:id="7872257">
                  <w:marLeft w:val="0"/>
                  <w:marRight w:val="0"/>
                  <w:marTop w:val="0"/>
                  <w:marBottom w:val="0"/>
                  <w:divBdr>
                    <w:top w:val="none" w:sz="0" w:space="0" w:color="auto"/>
                    <w:left w:val="none" w:sz="0" w:space="0" w:color="auto"/>
                    <w:bottom w:val="none" w:sz="0" w:space="0" w:color="auto"/>
                    <w:right w:val="none" w:sz="0" w:space="0" w:color="auto"/>
                  </w:divBdr>
                  <w:divsChild>
                    <w:div w:id="403265262">
                      <w:marLeft w:val="0"/>
                      <w:marRight w:val="0"/>
                      <w:marTop w:val="450"/>
                      <w:marBottom w:val="300"/>
                      <w:divBdr>
                        <w:top w:val="none" w:sz="0" w:space="0" w:color="auto"/>
                        <w:left w:val="none" w:sz="0" w:space="0" w:color="auto"/>
                        <w:bottom w:val="none" w:sz="0" w:space="0" w:color="auto"/>
                        <w:right w:val="none" w:sz="0" w:space="0" w:color="auto"/>
                      </w:divBdr>
                      <w:divsChild>
                        <w:div w:id="1850025727">
                          <w:marLeft w:val="0"/>
                          <w:marRight w:val="0"/>
                          <w:marTop w:val="0"/>
                          <w:marBottom w:val="450"/>
                          <w:divBdr>
                            <w:top w:val="none" w:sz="0" w:space="0" w:color="auto"/>
                            <w:left w:val="none" w:sz="0" w:space="0" w:color="auto"/>
                            <w:bottom w:val="none" w:sz="0" w:space="0" w:color="auto"/>
                            <w:right w:val="none" w:sz="0" w:space="0" w:color="auto"/>
                          </w:divBdr>
                          <w:divsChild>
                            <w:div w:id="602108045">
                              <w:marLeft w:val="180"/>
                              <w:marRight w:val="0"/>
                              <w:marTop w:val="60"/>
                              <w:marBottom w:val="0"/>
                              <w:divBdr>
                                <w:top w:val="none" w:sz="0" w:space="0" w:color="auto"/>
                                <w:left w:val="none" w:sz="0" w:space="0" w:color="auto"/>
                                <w:bottom w:val="none" w:sz="0" w:space="0" w:color="auto"/>
                                <w:right w:val="none" w:sz="0" w:space="0" w:color="auto"/>
                              </w:divBdr>
                              <w:divsChild>
                                <w:div w:id="1040129724">
                                  <w:marLeft w:val="0"/>
                                  <w:marRight w:val="0"/>
                                  <w:marTop w:val="0"/>
                                  <w:marBottom w:val="0"/>
                                  <w:divBdr>
                                    <w:top w:val="none" w:sz="0" w:space="0" w:color="auto"/>
                                    <w:left w:val="none" w:sz="0" w:space="0" w:color="auto"/>
                                    <w:bottom w:val="none" w:sz="0" w:space="0" w:color="auto"/>
                                    <w:right w:val="none" w:sz="0" w:space="0" w:color="auto"/>
                                  </w:divBdr>
                                  <w:divsChild>
                                    <w:div w:id="473176811">
                                      <w:marLeft w:val="0"/>
                                      <w:marRight w:val="0"/>
                                      <w:marTop w:val="0"/>
                                      <w:marBottom w:val="0"/>
                                      <w:divBdr>
                                        <w:top w:val="none" w:sz="0" w:space="0" w:color="auto"/>
                                        <w:left w:val="none" w:sz="0" w:space="0" w:color="auto"/>
                                        <w:bottom w:val="single" w:sz="12" w:space="8" w:color="FFFFFF"/>
                                        <w:right w:val="none" w:sz="0" w:space="0" w:color="auto"/>
                                      </w:divBdr>
                                    </w:div>
                                  </w:divsChild>
                                </w:div>
                              </w:divsChild>
                            </w:div>
                          </w:divsChild>
                        </w:div>
                      </w:divsChild>
                    </w:div>
                  </w:divsChild>
                </w:div>
              </w:divsChild>
            </w:div>
          </w:divsChild>
        </w:div>
      </w:divsChild>
    </w:div>
    <w:div w:id="114296950">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83130039">
      <w:bodyDiv w:val="1"/>
      <w:marLeft w:val="0"/>
      <w:marRight w:val="0"/>
      <w:marTop w:val="0"/>
      <w:marBottom w:val="0"/>
      <w:divBdr>
        <w:top w:val="none" w:sz="0" w:space="0" w:color="auto"/>
        <w:left w:val="none" w:sz="0" w:space="0" w:color="auto"/>
        <w:bottom w:val="none" w:sz="0" w:space="0" w:color="auto"/>
        <w:right w:val="none" w:sz="0" w:space="0" w:color="auto"/>
      </w:divBdr>
    </w:div>
    <w:div w:id="342586285">
      <w:bodyDiv w:val="1"/>
      <w:marLeft w:val="0"/>
      <w:marRight w:val="0"/>
      <w:marTop w:val="0"/>
      <w:marBottom w:val="0"/>
      <w:divBdr>
        <w:top w:val="none" w:sz="0" w:space="0" w:color="auto"/>
        <w:left w:val="none" w:sz="0" w:space="0" w:color="auto"/>
        <w:bottom w:val="none" w:sz="0" w:space="0" w:color="auto"/>
        <w:right w:val="none" w:sz="0" w:space="0" w:color="auto"/>
      </w:divBdr>
    </w:div>
    <w:div w:id="347341385">
      <w:bodyDiv w:val="1"/>
      <w:marLeft w:val="0"/>
      <w:marRight w:val="0"/>
      <w:marTop w:val="0"/>
      <w:marBottom w:val="0"/>
      <w:divBdr>
        <w:top w:val="none" w:sz="0" w:space="0" w:color="auto"/>
        <w:left w:val="none" w:sz="0" w:space="0" w:color="auto"/>
        <w:bottom w:val="none" w:sz="0" w:space="0" w:color="auto"/>
        <w:right w:val="none" w:sz="0" w:space="0" w:color="auto"/>
      </w:divBdr>
    </w:div>
    <w:div w:id="401146797">
      <w:bodyDiv w:val="1"/>
      <w:marLeft w:val="0"/>
      <w:marRight w:val="0"/>
      <w:marTop w:val="0"/>
      <w:marBottom w:val="0"/>
      <w:divBdr>
        <w:top w:val="none" w:sz="0" w:space="0" w:color="auto"/>
        <w:left w:val="none" w:sz="0" w:space="0" w:color="auto"/>
        <w:bottom w:val="none" w:sz="0" w:space="0" w:color="auto"/>
        <w:right w:val="none" w:sz="0" w:space="0" w:color="auto"/>
      </w:divBdr>
    </w:div>
    <w:div w:id="645158801">
      <w:bodyDiv w:val="1"/>
      <w:marLeft w:val="0"/>
      <w:marRight w:val="0"/>
      <w:marTop w:val="0"/>
      <w:marBottom w:val="0"/>
      <w:divBdr>
        <w:top w:val="none" w:sz="0" w:space="0" w:color="auto"/>
        <w:left w:val="none" w:sz="0" w:space="0" w:color="auto"/>
        <w:bottom w:val="none" w:sz="0" w:space="0" w:color="auto"/>
        <w:right w:val="none" w:sz="0" w:space="0" w:color="auto"/>
      </w:divBdr>
    </w:div>
    <w:div w:id="648752972">
      <w:bodyDiv w:val="1"/>
      <w:marLeft w:val="0"/>
      <w:marRight w:val="0"/>
      <w:marTop w:val="0"/>
      <w:marBottom w:val="0"/>
      <w:divBdr>
        <w:top w:val="none" w:sz="0" w:space="0" w:color="auto"/>
        <w:left w:val="none" w:sz="0" w:space="0" w:color="auto"/>
        <w:bottom w:val="none" w:sz="0" w:space="0" w:color="auto"/>
        <w:right w:val="none" w:sz="0" w:space="0" w:color="auto"/>
      </w:divBdr>
    </w:div>
    <w:div w:id="695615037">
      <w:bodyDiv w:val="1"/>
      <w:marLeft w:val="0"/>
      <w:marRight w:val="0"/>
      <w:marTop w:val="0"/>
      <w:marBottom w:val="0"/>
      <w:divBdr>
        <w:top w:val="none" w:sz="0" w:space="0" w:color="auto"/>
        <w:left w:val="none" w:sz="0" w:space="0" w:color="auto"/>
        <w:bottom w:val="none" w:sz="0" w:space="0" w:color="auto"/>
        <w:right w:val="none" w:sz="0" w:space="0" w:color="auto"/>
      </w:divBdr>
    </w:div>
    <w:div w:id="752820883">
      <w:bodyDiv w:val="1"/>
      <w:marLeft w:val="0"/>
      <w:marRight w:val="0"/>
      <w:marTop w:val="0"/>
      <w:marBottom w:val="0"/>
      <w:divBdr>
        <w:top w:val="none" w:sz="0" w:space="0" w:color="auto"/>
        <w:left w:val="none" w:sz="0" w:space="0" w:color="auto"/>
        <w:bottom w:val="none" w:sz="0" w:space="0" w:color="auto"/>
        <w:right w:val="none" w:sz="0" w:space="0" w:color="auto"/>
      </w:divBdr>
    </w:div>
    <w:div w:id="895319898">
      <w:bodyDiv w:val="1"/>
      <w:marLeft w:val="0"/>
      <w:marRight w:val="0"/>
      <w:marTop w:val="0"/>
      <w:marBottom w:val="0"/>
      <w:divBdr>
        <w:top w:val="none" w:sz="0" w:space="0" w:color="auto"/>
        <w:left w:val="none" w:sz="0" w:space="0" w:color="auto"/>
        <w:bottom w:val="none" w:sz="0" w:space="0" w:color="auto"/>
        <w:right w:val="none" w:sz="0" w:space="0" w:color="auto"/>
      </w:divBdr>
    </w:div>
    <w:div w:id="1069305498">
      <w:bodyDiv w:val="1"/>
      <w:marLeft w:val="0"/>
      <w:marRight w:val="0"/>
      <w:marTop w:val="0"/>
      <w:marBottom w:val="0"/>
      <w:divBdr>
        <w:top w:val="none" w:sz="0" w:space="0" w:color="auto"/>
        <w:left w:val="none" w:sz="0" w:space="0" w:color="auto"/>
        <w:bottom w:val="none" w:sz="0" w:space="0" w:color="auto"/>
        <w:right w:val="none" w:sz="0" w:space="0" w:color="auto"/>
      </w:divBdr>
    </w:div>
    <w:div w:id="1071197463">
      <w:bodyDiv w:val="1"/>
      <w:marLeft w:val="0"/>
      <w:marRight w:val="0"/>
      <w:marTop w:val="0"/>
      <w:marBottom w:val="0"/>
      <w:divBdr>
        <w:top w:val="none" w:sz="0" w:space="0" w:color="auto"/>
        <w:left w:val="none" w:sz="0" w:space="0" w:color="auto"/>
        <w:bottom w:val="none" w:sz="0" w:space="0" w:color="auto"/>
        <w:right w:val="none" w:sz="0" w:space="0" w:color="auto"/>
      </w:divBdr>
    </w:div>
    <w:div w:id="1361861658">
      <w:bodyDiv w:val="1"/>
      <w:marLeft w:val="0"/>
      <w:marRight w:val="0"/>
      <w:marTop w:val="0"/>
      <w:marBottom w:val="0"/>
      <w:divBdr>
        <w:top w:val="none" w:sz="0" w:space="0" w:color="auto"/>
        <w:left w:val="none" w:sz="0" w:space="0" w:color="auto"/>
        <w:bottom w:val="none" w:sz="0" w:space="0" w:color="auto"/>
        <w:right w:val="none" w:sz="0" w:space="0" w:color="auto"/>
      </w:divBdr>
    </w:div>
    <w:div w:id="1399089465">
      <w:bodyDiv w:val="1"/>
      <w:marLeft w:val="0"/>
      <w:marRight w:val="0"/>
      <w:marTop w:val="0"/>
      <w:marBottom w:val="0"/>
      <w:divBdr>
        <w:top w:val="none" w:sz="0" w:space="0" w:color="auto"/>
        <w:left w:val="none" w:sz="0" w:space="0" w:color="auto"/>
        <w:bottom w:val="none" w:sz="0" w:space="0" w:color="auto"/>
        <w:right w:val="none" w:sz="0" w:space="0" w:color="auto"/>
      </w:divBdr>
      <w:divsChild>
        <w:div w:id="471335585">
          <w:marLeft w:val="0"/>
          <w:marRight w:val="0"/>
          <w:marTop w:val="0"/>
          <w:marBottom w:val="0"/>
          <w:divBdr>
            <w:top w:val="none" w:sz="0" w:space="0" w:color="auto"/>
            <w:left w:val="none" w:sz="0" w:space="0" w:color="auto"/>
            <w:bottom w:val="none" w:sz="0" w:space="0" w:color="auto"/>
            <w:right w:val="none" w:sz="0" w:space="0" w:color="auto"/>
          </w:divBdr>
        </w:div>
      </w:divsChild>
    </w:div>
    <w:div w:id="1456097815">
      <w:bodyDiv w:val="1"/>
      <w:marLeft w:val="0"/>
      <w:marRight w:val="0"/>
      <w:marTop w:val="0"/>
      <w:marBottom w:val="0"/>
      <w:divBdr>
        <w:top w:val="none" w:sz="0" w:space="0" w:color="auto"/>
        <w:left w:val="none" w:sz="0" w:space="0" w:color="auto"/>
        <w:bottom w:val="none" w:sz="0" w:space="0" w:color="auto"/>
        <w:right w:val="none" w:sz="0" w:space="0" w:color="auto"/>
      </w:divBdr>
    </w:div>
    <w:div w:id="1472090190">
      <w:bodyDiv w:val="1"/>
      <w:marLeft w:val="0"/>
      <w:marRight w:val="0"/>
      <w:marTop w:val="0"/>
      <w:marBottom w:val="0"/>
      <w:divBdr>
        <w:top w:val="none" w:sz="0" w:space="0" w:color="auto"/>
        <w:left w:val="none" w:sz="0" w:space="0" w:color="auto"/>
        <w:bottom w:val="none" w:sz="0" w:space="0" w:color="auto"/>
        <w:right w:val="none" w:sz="0" w:space="0" w:color="auto"/>
      </w:divBdr>
      <w:divsChild>
        <w:div w:id="701856489">
          <w:marLeft w:val="0"/>
          <w:marRight w:val="0"/>
          <w:marTop w:val="0"/>
          <w:marBottom w:val="0"/>
          <w:divBdr>
            <w:top w:val="none" w:sz="0" w:space="0" w:color="auto"/>
            <w:left w:val="none" w:sz="0" w:space="0" w:color="auto"/>
            <w:bottom w:val="none" w:sz="0" w:space="0" w:color="auto"/>
            <w:right w:val="none" w:sz="0" w:space="0" w:color="auto"/>
          </w:divBdr>
          <w:divsChild>
            <w:div w:id="623387371">
              <w:marLeft w:val="0"/>
              <w:marRight w:val="0"/>
              <w:marTop w:val="0"/>
              <w:marBottom w:val="0"/>
              <w:divBdr>
                <w:top w:val="none" w:sz="0" w:space="0" w:color="auto"/>
                <w:left w:val="none" w:sz="0" w:space="0" w:color="auto"/>
                <w:bottom w:val="none" w:sz="0" w:space="0" w:color="auto"/>
                <w:right w:val="none" w:sz="0" w:space="0" w:color="auto"/>
              </w:divBdr>
              <w:divsChild>
                <w:div w:id="519589454">
                  <w:marLeft w:val="0"/>
                  <w:marRight w:val="0"/>
                  <w:marTop w:val="0"/>
                  <w:marBottom w:val="0"/>
                  <w:divBdr>
                    <w:top w:val="none" w:sz="0" w:space="0" w:color="auto"/>
                    <w:left w:val="none" w:sz="0" w:space="0" w:color="auto"/>
                    <w:bottom w:val="none" w:sz="0" w:space="0" w:color="auto"/>
                    <w:right w:val="none" w:sz="0" w:space="0" w:color="auto"/>
                  </w:divBdr>
                  <w:divsChild>
                    <w:div w:id="389424612">
                      <w:marLeft w:val="0"/>
                      <w:marRight w:val="0"/>
                      <w:marTop w:val="0"/>
                      <w:marBottom w:val="0"/>
                      <w:divBdr>
                        <w:top w:val="none" w:sz="0" w:space="0" w:color="auto"/>
                        <w:left w:val="none" w:sz="0" w:space="0" w:color="auto"/>
                        <w:bottom w:val="none" w:sz="0" w:space="0" w:color="auto"/>
                        <w:right w:val="none" w:sz="0" w:space="0" w:color="auto"/>
                      </w:divBdr>
                      <w:divsChild>
                        <w:div w:id="717361123">
                          <w:marLeft w:val="0"/>
                          <w:marRight w:val="0"/>
                          <w:marTop w:val="0"/>
                          <w:marBottom w:val="0"/>
                          <w:divBdr>
                            <w:top w:val="none" w:sz="0" w:space="0" w:color="auto"/>
                            <w:left w:val="none" w:sz="0" w:space="0" w:color="auto"/>
                            <w:bottom w:val="none" w:sz="0" w:space="0" w:color="auto"/>
                            <w:right w:val="none" w:sz="0" w:space="0" w:color="auto"/>
                          </w:divBdr>
                          <w:divsChild>
                            <w:div w:id="1746609302">
                              <w:marLeft w:val="0"/>
                              <w:marRight w:val="0"/>
                              <w:marTop w:val="0"/>
                              <w:marBottom w:val="0"/>
                              <w:divBdr>
                                <w:top w:val="none" w:sz="0" w:space="0" w:color="auto"/>
                                <w:left w:val="none" w:sz="0" w:space="0" w:color="auto"/>
                                <w:bottom w:val="none" w:sz="0" w:space="0" w:color="auto"/>
                                <w:right w:val="none" w:sz="0" w:space="0" w:color="auto"/>
                              </w:divBdr>
                              <w:divsChild>
                                <w:div w:id="235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62410">
      <w:bodyDiv w:val="1"/>
      <w:marLeft w:val="0"/>
      <w:marRight w:val="0"/>
      <w:marTop w:val="0"/>
      <w:marBottom w:val="0"/>
      <w:divBdr>
        <w:top w:val="none" w:sz="0" w:space="0" w:color="auto"/>
        <w:left w:val="none" w:sz="0" w:space="0" w:color="auto"/>
        <w:bottom w:val="none" w:sz="0" w:space="0" w:color="auto"/>
        <w:right w:val="none" w:sz="0" w:space="0" w:color="auto"/>
      </w:divBdr>
    </w:div>
    <w:div w:id="1652711164">
      <w:bodyDiv w:val="1"/>
      <w:marLeft w:val="0"/>
      <w:marRight w:val="0"/>
      <w:marTop w:val="0"/>
      <w:marBottom w:val="0"/>
      <w:divBdr>
        <w:top w:val="none" w:sz="0" w:space="0" w:color="auto"/>
        <w:left w:val="none" w:sz="0" w:space="0" w:color="auto"/>
        <w:bottom w:val="none" w:sz="0" w:space="0" w:color="auto"/>
        <w:right w:val="none" w:sz="0" w:space="0" w:color="auto"/>
      </w:divBdr>
      <w:divsChild>
        <w:div w:id="665405844">
          <w:marLeft w:val="0"/>
          <w:marRight w:val="0"/>
          <w:marTop w:val="0"/>
          <w:marBottom w:val="0"/>
          <w:divBdr>
            <w:top w:val="none" w:sz="0" w:space="0" w:color="auto"/>
            <w:left w:val="none" w:sz="0" w:space="0" w:color="auto"/>
            <w:bottom w:val="none" w:sz="0" w:space="0" w:color="auto"/>
            <w:right w:val="none" w:sz="0" w:space="0" w:color="auto"/>
          </w:divBdr>
          <w:divsChild>
            <w:div w:id="414522811">
              <w:marLeft w:val="0"/>
              <w:marRight w:val="0"/>
              <w:marTop w:val="0"/>
              <w:marBottom w:val="0"/>
              <w:divBdr>
                <w:top w:val="none" w:sz="0" w:space="0" w:color="auto"/>
                <w:left w:val="none" w:sz="0" w:space="0" w:color="auto"/>
                <w:bottom w:val="none" w:sz="0" w:space="0" w:color="auto"/>
                <w:right w:val="none" w:sz="0" w:space="0" w:color="auto"/>
              </w:divBdr>
              <w:divsChild>
                <w:div w:id="1199007985">
                  <w:marLeft w:val="0"/>
                  <w:marRight w:val="0"/>
                  <w:marTop w:val="0"/>
                  <w:marBottom w:val="0"/>
                  <w:divBdr>
                    <w:top w:val="none" w:sz="0" w:space="0" w:color="auto"/>
                    <w:left w:val="none" w:sz="0" w:space="0" w:color="auto"/>
                    <w:bottom w:val="none" w:sz="0" w:space="0" w:color="auto"/>
                    <w:right w:val="none" w:sz="0" w:space="0" w:color="auto"/>
                  </w:divBdr>
                  <w:divsChild>
                    <w:div w:id="1531336602">
                      <w:marLeft w:val="0"/>
                      <w:marRight w:val="0"/>
                      <w:marTop w:val="0"/>
                      <w:marBottom w:val="0"/>
                      <w:divBdr>
                        <w:top w:val="none" w:sz="0" w:space="0" w:color="auto"/>
                        <w:left w:val="none" w:sz="0" w:space="0" w:color="auto"/>
                        <w:bottom w:val="none" w:sz="0" w:space="0" w:color="auto"/>
                        <w:right w:val="none" w:sz="0" w:space="0" w:color="auto"/>
                      </w:divBdr>
                      <w:divsChild>
                        <w:div w:id="458648763">
                          <w:marLeft w:val="0"/>
                          <w:marRight w:val="0"/>
                          <w:marTop w:val="0"/>
                          <w:marBottom w:val="0"/>
                          <w:divBdr>
                            <w:top w:val="none" w:sz="0" w:space="0" w:color="auto"/>
                            <w:left w:val="none" w:sz="0" w:space="0" w:color="auto"/>
                            <w:bottom w:val="none" w:sz="0" w:space="0" w:color="auto"/>
                            <w:right w:val="none" w:sz="0" w:space="0" w:color="auto"/>
                          </w:divBdr>
                          <w:divsChild>
                            <w:div w:id="1987775403">
                              <w:marLeft w:val="0"/>
                              <w:marRight w:val="0"/>
                              <w:marTop w:val="0"/>
                              <w:marBottom w:val="0"/>
                              <w:divBdr>
                                <w:top w:val="none" w:sz="0" w:space="0" w:color="auto"/>
                                <w:left w:val="none" w:sz="0" w:space="0" w:color="auto"/>
                                <w:bottom w:val="none" w:sz="0" w:space="0" w:color="auto"/>
                                <w:right w:val="none" w:sz="0" w:space="0" w:color="auto"/>
                              </w:divBdr>
                              <w:divsChild>
                                <w:div w:id="1611205109">
                                  <w:marLeft w:val="0"/>
                                  <w:marRight w:val="0"/>
                                  <w:marTop w:val="0"/>
                                  <w:marBottom w:val="0"/>
                                  <w:divBdr>
                                    <w:top w:val="none" w:sz="0" w:space="0" w:color="auto"/>
                                    <w:left w:val="none" w:sz="0" w:space="0" w:color="auto"/>
                                    <w:bottom w:val="none" w:sz="0" w:space="0" w:color="auto"/>
                                    <w:right w:val="none" w:sz="0" w:space="0" w:color="auto"/>
                                  </w:divBdr>
                                  <w:divsChild>
                                    <w:div w:id="14027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644623">
      <w:bodyDiv w:val="1"/>
      <w:marLeft w:val="0"/>
      <w:marRight w:val="0"/>
      <w:marTop w:val="0"/>
      <w:marBottom w:val="0"/>
      <w:divBdr>
        <w:top w:val="none" w:sz="0" w:space="0" w:color="auto"/>
        <w:left w:val="none" w:sz="0" w:space="0" w:color="auto"/>
        <w:bottom w:val="none" w:sz="0" w:space="0" w:color="auto"/>
        <w:right w:val="none" w:sz="0" w:space="0" w:color="auto"/>
      </w:divBdr>
    </w:div>
    <w:div w:id="1805924126">
      <w:bodyDiv w:val="1"/>
      <w:marLeft w:val="0"/>
      <w:marRight w:val="0"/>
      <w:marTop w:val="0"/>
      <w:marBottom w:val="0"/>
      <w:divBdr>
        <w:top w:val="none" w:sz="0" w:space="0" w:color="auto"/>
        <w:left w:val="none" w:sz="0" w:space="0" w:color="auto"/>
        <w:bottom w:val="none" w:sz="0" w:space="0" w:color="auto"/>
        <w:right w:val="none" w:sz="0" w:space="0" w:color="auto"/>
      </w:divBdr>
    </w:div>
    <w:div w:id="1838767882">
      <w:bodyDiv w:val="1"/>
      <w:marLeft w:val="0"/>
      <w:marRight w:val="0"/>
      <w:marTop w:val="0"/>
      <w:marBottom w:val="0"/>
      <w:divBdr>
        <w:top w:val="none" w:sz="0" w:space="0" w:color="auto"/>
        <w:left w:val="none" w:sz="0" w:space="0" w:color="auto"/>
        <w:bottom w:val="none" w:sz="0" w:space="0" w:color="auto"/>
        <w:right w:val="none" w:sz="0" w:space="0" w:color="auto"/>
      </w:divBdr>
    </w:div>
    <w:div w:id="1895315546">
      <w:bodyDiv w:val="1"/>
      <w:marLeft w:val="0"/>
      <w:marRight w:val="0"/>
      <w:marTop w:val="0"/>
      <w:marBottom w:val="0"/>
      <w:divBdr>
        <w:top w:val="none" w:sz="0" w:space="0" w:color="auto"/>
        <w:left w:val="none" w:sz="0" w:space="0" w:color="auto"/>
        <w:bottom w:val="none" w:sz="0" w:space="0" w:color="auto"/>
        <w:right w:val="none" w:sz="0" w:space="0" w:color="auto"/>
      </w:divBdr>
    </w:div>
    <w:div w:id="20496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urolawyer.at/pdf/EF-Z-2016-304-306-Thiele.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4AD2-D9F2-4767-A92F-2AD1CF06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6582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DOPORUČENĚ</vt:lpstr>
    </vt:vector>
  </TitlesOfParts>
  <Company>Glatzová &amp; Co.</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DOPORUČENĚ</dc:title>
  <dc:creator>Martin Krechler</dc:creator>
  <cp:lastModifiedBy>Horáková Veronika</cp:lastModifiedBy>
  <cp:revision>2</cp:revision>
  <cp:lastPrinted>2019-07-04T07:17:00Z</cp:lastPrinted>
  <dcterms:created xsi:type="dcterms:W3CDTF">2019-07-08T13:51:00Z</dcterms:created>
  <dcterms:modified xsi:type="dcterms:W3CDTF">2019-07-08T13:51:00Z</dcterms:modified>
</cp:coreProperties>
</file>